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6"/>
      </w:tblGrid>
      <w:tr w:rsidR="00042071" w:rsidRPr="00042071" w14:paraId="46C61566" w14:textId="77777777" w:rsidTr="00D256ED">
        <w:trPr>
          <w:cantSplit/>
          <w:jc w:val="center"/>
        </w:trPr>
        <w:tc>
          <w:tcPr>
            <w:tcW w:w="11016" w:type="dxa"/>
          </w:tcPr>
          <w:p w14:paraId="46C61565" w14:textId="5B329C6A" w:rsidR="00925A70" w:rsidRPr="00042071" w:rsidRDefault="00925A70" w:rsidP="00D256ED">
            <w:pPr>
              <w:pStyle w:val="ChecklistBasis"/>
              <w:pageBreakBefore/>
              <w:spacing w:line="240" w:lineRule="exact"/>
              <w:rPr>
                <w:szCs w:val="20"/>
              </w:rPr>
            </w:pPr>
            <w:r w:rsidRPr="00042071">
              <w:br w:type="page"/>
            </w:r>
            <w:r w:rsidRPr="00042071">
              <w:rPr>
                <w:szCs w:val="20"/>
              </w:rPr>
              <w:t xml:space="preserve">The purpose of this </w:t>
            </w:r>
            <w:r w:rsidR="00BC58E2" w:rsidRPr="00042071">
              <w:rPr>
                <w:szCs w:val="20"/>
              </w:rPr>
              <w:t xml:space="preserve">worksheet </w:t>
            </w:r>
            <w:r w:rsidRPr="00042071">
              <w:rPr>
                <w:szCs w:val="20"/>
              </w:rPr>
              <w:t>is to provide support for IRB staff conducting screening of submission materials.</w:t>
            </w:r>
          </w:p>
        </w:tc>
      </w:tr>
      <w:tr w:rsidR="00042071" w:rsidRPr="00042071" w14:paraId="46C61568" w14:textId="77777777" w:rsidTr="00D256ED">
        <w:trPr>
          <w:jc w:val="center"/>
        </w:trPr>
        <w:tc>
          <w:tcPr>
            <w:tcW w:w="11016" w:type="dxa"/>
            <w:tcBorders>
              <w:bottom w:val="single" w:sz="4" w:space="0" w:color="auto"/>
            </w:tcBorders>
          </w:tcPr>
          <w:p w14:paraId="46C61567" w14:textId="77777777" w:rsidR="00925A70" w:rsidRPr="00042071" w:rsidRDefault="00925A70" w:rsidP="00925A70">
            <w:pPr>
              <w:pStyle w:val="ChecklistLevel1"/>
              <w:numPr>
                <w:ilvl w:val="0"/>
                <w:numId w:val="3"/>
              </w:numPr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 xml:space="preserve"> ALL REVIEWS</w:t>
            </w:r>
          </w:p>
        </w:tc>
      </w:tr>
      <w:tr w:rsidR="00042071" w:rsidRPr="00042071" w14:paraId="46C6156E" w14:textId="77777777" w:rsidTr="00D256ED">
        <w:trPr>
          <w:jc w:val="center"/>
        </w:trPr>
        <w:tc>
          <w:tcPr>
            <w:tcW w:w="11016" w:type="dxa"/>
            <w:tcBorders>
              <w:bottom w:val="nil"/>
            </w:tcBorders>
          </w:tcPr>
          <w:p w14:paraId="46C61569" w14:textId="1C7B3692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 xml:space="preserve">Determine the laws that apply to the </w:t>
            </w:r>
            <w:r w:rsidRPr="00042071">
              <w:rPr>
                <w:szCs w:val="20"/>
                <w:u w:val="double"/>
              </w:rPr>
              <w:t>Human Research</w:t>
            </w:r>
            <w:r w:rsidRPr="00042071">
              <w:rPr>
                <w:szCs w:val="20"/>
              </w:rPr>
              <w:t xml:space="preserve"> and indicate in the “Regulatory Oversight” section of the Pre-Review Activity.</w:t>
            </w:r>
          </w:p>
          <w:p w14:paraId="46C6156A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 xml:space="preserve">Determine whether any investigators or research staff are </w:t>
            </w:r>
            <w:r w:rsidRPr="00042071">
              <w:rPr>
                <w:szCs w:val="20"/>
                <w:u w:val="double"/>
              </w:rPr>
              <w:t>Restricted</w:t>
            </w:r>
            <w:r w:rsidRPr="00042071">
              <w:rPr>
                <w:szCs w:val="20"/>
              </w:rPr>
              <w:t>. If so, list their names and the reasons in the “Restrictions” section of the Pre-Review Activity.</w:t>
            </w:r>
          </w:p>
          <w:p w14:paraId="46C6156B" w14:textId="77777777" w:rsidR="00610660" w:rsidRPr="00042071" w:rsidRDefault="00610660" w:rsidP="004B704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 xml:space="preserve">Determine whether the </w:t>
            </w:r>
            <w:r w:rsidRPr="00042071">
              <w:rPr>
                <w:szCs w:val="20"/>
                <w:u w:val="double"/>
              </w:rPr>
              <w:t>Human Research</w:t>
            </w:r>
            <w:r w:rsidRPr="00042071">
              <w:rPr>
                <w:szCs w:val="20"/>
              </w:rPr>
              <w:t xml:space="preserve"> has received all required ancillary reviews and approvals by the appropriate committees and officials. </w:t>
            </w:r>
          </w:p>
          <w:p w14:paraId="12B5DD5C" w14:textId="77777777" w:rsidR="004B704D" w:rsidRPr="00042071" w:rsidRDefault="004B704D" w:rsidP="004B704D">
            <w:pPr>
              <w:pStyle w:val="ChecklistSimple"/>
              <w:spacing w:line="240" w:lineRule="exact"/>
            </w:pPr>
            <w:r w:rsidRPr="00042071">
              <w:t>If the Human Research could be subject to EU GDPR, send for legal counsel review.</w:t>
            </w:r>
          </w:p>
          <w:p w14:paraId="46C6156C" w14:textId="49E6EDD5" w:rsidR="00925A70" w:rsidRPr="00042071" w:rsidRDefault="00925A70" w:rsidP="004B704D">
            <w:pPr>
              <w:pStyle w:val="ChecklistSimple"/>
              <w:spacing w:line="240" w:lineRule="exact"/>
            </w:pPr>
            <w:r w:rsidRPr="00042071">
              <w:t>If there is a HIPAA authorization, review using “</w:t>
            </w:r>
            <w:r w:rsidRPr="00042071">
              <w:rPr>
                <w:szCs w:val="20"/>
              </w:rPr>
              <w:t>WORKSHEET: HIPAA Authorization (HRP-330)”</w:t>
            </w:r>
            <w:r w:rsidR="00610660" w:rsidRPr="00042071">
              <w:rPr>
                <w:szCs w:val="20"/>
              </w:rPr>
              <w:t xml:space="preserve"> </w:t>
            </w:r>
          </w:p>
          <w:p w14:paraId="36CD42F9" w14:textId="77777777" w:rsidR="00925A70" w:rsidRPr="00042071" w:rsidRDefault="00925A70" w:rsidP="00D256ED">
            <w:pPr>
              <w:pStyle w:val="ChecklistSimple"/>
              <w:spacing w:line="240" w:lineRule="exact"/>
            </w:pPr>
            <w:r w:rsidRPr="00042071">
              <w:t>If a HIPAA waiver of authorization is required, grant using “</w:t>
            </w:r>
            <w:r w:rsidRPr="00042071">
              <w:rPr>
                <w:szCs w:val="20"/>
              </w:rPr>
              <w:t>CHECKLIST: HIPAA Waiver of Authorization (HRP-441)”</w:t>
            </w:r>
          </w:p>
          <w:p w14:paraId="46C6156D" w14:textId="52956B7F" w:rsidR="00D855A7" w:rsidRPr="00042071" w:rsidRDefault="00D855A7" w:rsidP="00D256ED">
            <w:pPr>
              <w:pStyle w:val="ChecklistSimple"/>
              <w:spacing w:line="240" w:lineRule="exact"/>
            </w:pPr>
            <w:r w:rsidRPr="00042071">
              <w:rPr>
                <w:szCs w:val="20"/>
              </w:rPr>
              <w:t xml:space="preserve">Determine whether the submission is for a Single-Site Study, </w:t>
            </w:r>
            <w:r w:rsidRPr="00042071">
              <w:rPr>
                <w:szCs w:val="20"/>
                <w:u w:val="double"/>
              </w:rPr>
              <w:t>Collaborative Study</w:t>
            </w:r>
            <w:r w:rsidRPr="00042071">
              <w:rPr>
                <w:szCs w:val="20"/>
              </w:rPr>
              <w:t xml:space="preserve">, or </w:t>
            </w:r>
            <w:r w:rsidRPr="00042071">
              <w:rPr>
                <w:szCs w:val="20"/>
                <w:u w:val="double"/>
              </w:rPr>
              <w:t>Multi-Site Study</w:t>
            </w:r>
            <w:r w:rsidRPr="00042071">
              <w:rPr>
                <w:szCs w:val="20"/>
              </w:rPr>
              <w:t>.</w:t>
            </w:r>
          </w:p>
        </w:tc>
      </w:tr>
      <w:tr w:rsidR="00042071" w:rsidRPr="00042071" w14:paraId="46C61570" w14:textId="77777777" w:rsidTr="00D256ED">
        <w:trPr>
          <w:jc w:val="center"/>
        </w:trPr>
        <w:tc>
          <w:tcPr>
            <w:tcW w:w="11016" w:type="dxa"/>
            <w:tcBorders>
              <w:top w:val="nil"/>
              <w:bottom w:val="nil"/>
            </w:tcBorders>
          </w:tcPr>
          <w:p w14:paraId="46C6156F" w14:textId="3DE938CF" w:rsidR="00925A70" w:rsidRPr="00042071" w:rsidRDefault="00925A70" w:rsidP="00D256ED">
            <w:pPr>
              <w:pStyle w:val="ChecklistSimple"/>
              <w:spacing w:line="240" w:lineRule="exact"/>
              <w:rPr>
                <w:b/>
                <w:bCs/>
                <w:szCs w:val="20"/>
              </w:rPr>
            </w:pPr>
            <w:r w:rsidRPr="00042071">
              <w:rPr>
                <w:b/>
                <w:bCs/>
                <w:szCs w:val="20"/>
              </w:rPr>
              <w:t xml:space="preserve">Note any missing materials necessary for review in the “Missing Materials” section </w:t>
            </w:r>
            <w:r w:rsidRPr="00042071">
              <w:rPr>
                <w:b/>
                <w:szCs w:val="20"/>
              </w:rPr>
              <w:t xml:space="preserve">of the Pre-Review Activity: </w:t>
            </w:r>
          </w:p>
        </w:tc>
      </w:tr>
    </w:tbl>
    <w:p w14:paraId="46C61571" w14:textId="77777777" w:rsidR="00925A70" w:rsidRPr="00042071" w:rsidRDefault="00925A70" w:rsidP="00925A70">
      <w:pPr>
        <w:pStyle w:val="ChecklistSimple"/>
        <w:spacing w:line="240" w:lineRule="exact"/>
        <w:rPr>
          <w:szCs w:val="20"/>
        </w:rPr>
        <w:sectPr w:rsidR="00925A70" w:rsidRPr="00042071" w:rsidSect="00F0661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720" w:right="720" w:bottom="720" w:left="720" w:header="720" w:footer="492" w:gutter="0"/>
          <w:cols w:space="720"/>
          <w:docGrid w:linePitch="360"/>
        </w:sect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54"/>
        <w:gridCol w:w="2034"/>
        <w:gridCol w:w="666"/>
        <w:gridCol w:w="54"/>
        <w:gridCol w:w="2754"/>
        <w:gridCol w:w="2754"/>
      </w:tblGrid>
      <w:tr w:rsidR="00042071" w:rsidRPr="00042071" w14:paraId="46C61577" w14:textId="77777777" w:rsidTr="00D256ED">
        <w:trPr>
          <w:jc w:val="center"/>
        </w:trPr>
        <w:tc>
          <w:tcPr>
            <w:tcW w:w="5454" w:type="dxa"/>
            <w:gridSpan w:val="3"/>
            <w:tcBorders>
              <w:top w:val="nil"/>
              <w:bottom w:val="nil"/>
              <w:right w:val="nil"/>
            </w:tcBorders>
          </w:tcPr>
          <w:p w14:paraId="46C61572" w14:textId="21D0C617" w:rsidR="00925A70" w:rsidRPr="00042071" w:rsidRDefault="00D855A7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Complete Huron IRB application</w:t>
            </w:r>
          </w:p>
          <w:p w14:paraId="46C61573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Investigator Protocol</w:t>
            </w:r>
          </w:p>
          <w:p w14:paraId="46C61574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Consent document(s) or script(s)</w:t>
            </w:r>
          </w:p>
        </w:tc>
        <w:tc>
          <w:tcPr>
            <w:tcW w:w="5562" w:type="dxa"/>
            <w:gridSpan w:val="3"/>
            <w:tcBorders>
              <w:top w:val="nil"/>
              <w:left w:val="nil"/>
              <w:bottom w:val="nil"/>
            </w:tcBorders>
          </w:tcPr>
          <w:p w14:paraId="46C61575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Data collection instruments</w:t>
            </w:r>
          </w:p>
          <w:p w14:paraId="46C61576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Written material to be seen or heard by subjects</w:t>
            </w:r>
          </w:p>
        </w:tc>
      </w:tr>
      <w:tr w:rsidR="00042071" w:rsidRPr="00042071" w14:paraId="46C61579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nil"/>
              <w:bottom w:val="single" w:sz="4" w:space="0" w:color="auto"/>
            </w:tcBorders>
          </w:tcPr>
          <w:p w14:paraId="46C61578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Determine whether any new information has been provided. (For example, a new risk.) If so, follow “SOP: New Information (HRP-024).”</w:t>
            </w:r>
          </w:p>
        </w:tc>
      </w:tr>
      <w:tr w:rsidR="00042071" w:rsidRPr="00042071" w14:paraId="46C6157B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6C6157A" w14:textId="77777777" w:rsidR="00925A70" w:rsidRPr="00042071" w:rsidRDefault="00925A70" w:rsidP="00D256ED">
            <w:pPr>
              <w:pStyle w:val="ChecklistLevel1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INITIAL REVIEW and MODIFICATION (when the modification affects one of the following)</w:t>
            </w:r>
          </w:p>
        </w:tc>
      </w:tr>
      <w:tr w:rsidR="00042071" w:rsidRPr="00042071" w14:paraId="46C61580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bottom w:val="nil"/>
            </w:tcBorders>
          </w:tcPr>
          <w:p w14:paraId="46C6157C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If the research involves the use of a drug use the “WORKSHEET: Drugs (HRP-306).”</w:t>
            </w:r>
          </w:p>
          <w:p w14:paraId="46C6157D" w14:textId="373538C3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If the research involves the use of a device (including a humanitarian use device) use the “WORKSHEET: Devices (HRP-307)”</w:t>
            </w:r>
          </w:p>
          <w:p w14:paraId="46C6157E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Note any special determinations that need to be made by the convened IRB or Designated Reviewer in the “Special Determinations” section of the Pre-Review Activity.</w:t>
            </w:r>
          </w:p>
          <w:p w14:paraId="0D394D8C" w14:textId="77777777" w:rsidR="00925A70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If the device meets the abbreviated IDE requirements, note “</w:t>
            </w:r>
            <w:proofErr w:type="gramStart"/>
            <w:r w:rsidRPr="00042071">
              <w:rPr>
                <w:szCs w:val="20"/>
              </w:rPr>
              <w:t>Non significant</w:t>
            </w:r>
            <w:proofErr w:type="gramEnd"/>
            <w:r w:rsidRPr="00042071">
              <w:rPr>
                <w:szCs w:val="20"/>
              </w:rPr>
              <w:t xml:space="preserve"> device determination” in the “Special Determinations” section of the Pre-Review Activity. </w:t>
            </w:r>
          </w:p>
          <w:p w14:paraId="46C6157F" w14:textId="6A60B006" w:rsidR="000532F8" w:rsidRPr="00042071" w:rsidRDefault="000532F8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EA56CF">
              <w:t>If the research is NIH-funded (regardless of whether the investigator has indicated the use of a Certificate of Confidentiality), note the presence of a Certificate of Confidentiality in the Protocol Tracking section of the Pre-Review Checklist.</w:t>
            </w:r>
          </w:p>
        </w:tc>
      </w:tr>
      <w:tr w:rsidR="00042071" w:rsidRPr="00042071" w14:paraId="46C61582" w14:textId="77777777" w:rsidTr="00D256ED">
        <w:trPr>
          <w:trHeight w:val="90"/>
          <w:jc w:val="center"/>
        </w:trPr>
        <w:tc>
          <w:tcPr>
            <w:tcW w:w="11016" w:type="dxa"/>
            <w:gridSpan w:val="6"/>
            <w:tcBorders>
              <w:top w:val="nil"/>
              <w:bottom w:val="nil"/>
            </w:tcBorders>
          </w:tcPr>
          <w:p w14:paraId="46C61581" w14:textId="7B34D2DA" w:rsidR="00925A70" w:rsidRPr="00042071" w:rsidRDefault="00925A70" w:rsidP="00A814B1">
            <w:pPr>
              <w:pStyle w:val="ChecklistBasis"/>
              <w:spacing w:line="240" w:lineRule="exact"/>
              <w:rPr>
                <w:b/>
                <w:bCs/>
                <w:szCs w:val="20"/>
              </w:rPr>
            </w:pPr>
            <w:r w:rsidRPr="00042071">
              <w:rPr>
                <w:b/>
                <w:bCs/>
                <w:szCs w:val="20"/>
              </w:rPr>
              <w:t>Note any missing materials necessary for review in the “Missing Materials” section of the Pre-Review Activity:</w:t>
            </w:r>
          </w:p>
        </w:tc>
      </w:tr>
      <w:tr w:rsidR="00042071" w:rsidRPr="00042071" w14:paraId="46C6158C" w14:textId="77777777" w:rsidTr="00D256ED">
        <w:trPr>
          <w:jc w:val="center"/>
        </w:trPr>
        <w:tc>
          <w:tcPr>
            <w:tcW w:w="4788" w:type="dxa"/>
            <w:gridSpan w:val="2"/>
            <w:tcBorders>
              <w:top w:val="nil"/>
              <w:bottom w:val="nil"/>
              <w:right w:val="nil"/>
            </w:tcBorders>
          </w:tcPr>
          <w:p w14:paraId="46C61583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Qualifications of the key personnel</w:t>
            </w:r>
          </w:p>
          <w:p w14:paraId="46C61585" w14:textId="77777777" w:rsidR="00925A70" w:rsidRPr="00042071" w:rsidRDefault="00925A70" w:rsidP="00D855A7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Complete sponsor protocol (including DHHS protocol)</w:t>
            </w:r>
          </w:p>
          <w:p w14:paraId="46C61586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DHHS-approved sample consent document</w:t>
            </w:r>
          </w:p>
          <w:p w14:paraId="46C61587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Investigator brochure for investigational drug</w:t>
            </w:r>
          </w:p>
          <w:p w14:paraId="456B6C77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Package insert for marketed drugs</w:t>
            </w:r>
          </w:p>
          <w:p w14:paraId="0F061DA0" w14:textId="77777777" w:rsidR="00582B8F" w:rsidRPr="00042071" w:rsidRDefault="00582B8F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Institutional Profile</w:t>
            </w:r>
          </w:p>
          <w:p w14:paraId="46C61588" w14:textId="537BC87E" w:rsidR="00582B8F" w:rsidRPr="00042071" w:rsidRDefault="00582B8F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Executed Reliance Agreement(s)</w:t>
            </w:r>
          </w:p>
        </w:tc>
        <w:tc>
          <w:tcPr>
            <w:tcW w:w="6228" w:type="dxa"/>
            <w:gridSpan w:val="4"/>
            <w:tcBorders>
              <w:top w:val="nil"/>
              <w:left w:val="nil"/>
              <w:bottom w:val="nil"/>
            </w:tcBorders>
          </w:tcPr>
          <w:p w14:paraId="46C61589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Product information for medical devices</w:t>
            </w:r>
          </w:p>
          <w:p w14:paraId="46C6158B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For the Department of Education (ED) research ensure that a permission letter has been submitted attesting compliance with FERPA and PPRA.</w:t>
            </w:r>
          </w:p>
        </w:tc>
      </w:tr>
      <w:tr w:rsidR="00042071" w:rsidRPr="00042071" w14:paraId="46C6158E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nil"/>
              <w:bottom w:val="nil"/>
            </w:tcBorders>
          </w:tcPr>
          <w:p w14:paraId="46C6158D" w14:textId="2F087EB0" w:rsidR="00925A70" w:rsidRPr="00042071" w:rsidRDefault="00925A70" w:rsidP="00A814B1">
            <w:pPr>
              <w:pStyle w:val="ChecklistBasis"/>
              <w:spacing w:line="240" w:lineRule="exact"/>
              <w:rPr>
                <w:b/>
                <w:bCs/>
                <w:szCs w:val="20"/>
              </w:rPr>
            </w:pPr>
            <w:r w:rsidRPr="00042071">
              <w:rPr>
                <w:b/>
                <w:bCs/>
                <w:szCs w:val="20"/>
              </w:rPr>
              <w:t xml:space="preserve">Note missing/inappropriately answered Investigator Protocol sections in the “Missing Materials” section of </w:t>
            </w:r>
            <w:r w:rsidRPr="00042071">
              <w:rPr>
                <w:rFonts w:cs="Arial Narrow"/>
                <w:b/>
                <w:bCs/>
                <w:szCs w:val="20"/>
              </w:rPr>
              <w:t xml:space="preserve">the Pre-Review Activity: </w:t>
            </w:r>
          </w:p>
        </w:tc>
      </w:tr>
      <w:tr w:rsidR="00042071" w:rsidRPr="00042071" w14:paraId="46C615AE" w14:textId="77777777" w:rsidTr="00D256ED">
        <w:trPr>
          <w:jc w:val="center"/>
        </w:trPr>
        <w:tc>
          <w:tcPr>
            <w:tcW w:w="2754" w:type="dxa"/>
            <w:tcBorders>
              <w:top w:val="nil"/>
              <w:bottom w:val="nil"/>
              <w:right w:val="nil"/>
            </w:tcBorders>
          </w:tcPr>
          <w:p w14:paraId="46C6158F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IRB Review History</w:t>
            </w:r>
          </w:p>
          <w:p w14:paraId="46C61590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Objectives</w:t>
            </w:r>
          </w:p>
          <w:p w14:paraId="46C61591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Background</w:t>
            </w:r>
          </w:p>
          <w:p w14:paraId="46C61592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Setting</w:t>
            </w:r>
          </w:p>
          <w:p w14:paraId="46C61593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Resources Available</w:t>
            </w:r>
          </w:p>
          <w:p w14:paraId="46C61594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Prior Approvals</w:t>
            </w:r>
          </w:p>
          <w:p w14:paraId="46C61595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Study Design</w:t>
            </w:r>
          </w:p>
          <w:p w14:paraId="46C61596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Recruitment Methods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C61597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Inclusion/Exclusion Criteria</w:t>
            </w:r>
          </w:p>
          <w:p w14:paraId="46C61598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Compensation for Injury</w:t>
            </w:r>
          </w:p>
          <w:p w14:paraId="46C61599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Local Number of Subjects</w:t>
            </w:r>
          </w:p>
          <w:p w14:paraId="46C6159A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Total Number of Subjects</w:t>
            </w:r>
          </w:p>
          <w:p w14:paraId="46C6159B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Study Timelines</w:t>
            </w:r>
          </w:p>
          <w:p w14:paraId="46C6159C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Study Endpoints</w:t>
            </w:r>
          </w:p>
          <w:p w14:paraId="46C6159D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Procedures Involved</w:t>
            </w:r>
          </w:p>
          <w:p w14:paraId="46C6159E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Data and Specimen Banking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nil"/>
            </w:tcBorders>
          </w:tcPr>
          <w:p w14:paraId="46C6159F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Data Management</w:t>
            </w:r>
          </w:p>
          <w:p w14:paraId="46C615A0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Confidentiality</w:t>
            </w:r>
          </w:p>
          <w:p w14:paraId="46C615A1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Provisions to Monitor Data</w:t>
            </w:r>
          </w:p>
          <w:p w14:paraId="46C615A2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Withdrawal of Subjects</w:t>
            </w:r>
          </w:p>
          <w:p w14:paraId="46C615A3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Risks to Subjects</w:t>
            </w:r>
          </w:p>
          <w:p w14:paraId="46C615A4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Potential Benefits to Subjects</w:t>
            </w:r>
          </w:p>
          <w:p w14:paraId="46C615A5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Provisions to Protect Privacy</w:t>
            </w:r>
          </w:p>
          <w:p w14:paraId="46C615A6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Economic Burden to Subjects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</w:tcBorders>
          </w:tcPr>
          <w:p w14:paraId="46C615A7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Consent Process</w:t>
            </w:r>
          </w:p>
          <w:p w14:paraId="46C615A8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Consent Documentation</w:t>
            </w:r>
          </w:p>
          <w:p w14:paraId="46C615A9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Vulnerable Populations</w:t>
            </w:r>
          </w:p>
          <w:p w14:paraId="46C615AA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Drugs or Devices</w:t>
            </w:r>
          </w:p>
          <w:p w14:paraId="46C615AB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Multi-Site Research</w:t>
            </w:r>
          </w:p>
          <w:p w14:paraId="46C615AC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Community-Based Participatory Research</w:t>
            </w:r>
          </w:p>
          <w:p w14:paraId="46C615AD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Sharing of Results</w:t>
            </w:r>
          </w:p>
        </w:tc>
      </w:tr>
      <w:tr w:rsidR="00042071" w:rsidRPr="00042071" w14:paraId="46C615B0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nil"/>
              <w:bottom w:val="nil"/>
            </w:tcBorders>
          </w:tcPr>
          <w:p w14:paraId="46C615AF" w14:textId="73F0E194" w:rsidR="00925A70" w:rsidRPr="00042071" w:rsidRDefault="00925A70" w:rsidP="009B2C8C">
            <w:pPr>
              <w:pStyle w:val="ChecklistBasis"/>
              <w:spacing w:line="240" w:lineRule="exact"/>
              <w:rPr>
                <w:b/>
                <w:bCs/>
                <w:szCs w:val="20"/>
              </w:rPr>
            </w:pPr>
            <w:r w:rsidRPr="00042071">
              <w:rPr>
                <w:b/>
                <w:bCs/>
                <w:szCs w:val="20"/>
              </w:rPr>
              <w:t>“</w:t>
            </w:r>
            <w:r w:rsidR="009B2C8C" w:rsidRPr="00042071">
              <w:rPr>
                <w:b/>
                <w:bCs/>
                <w:szCs w:val="20"/>
              </w:rPr>
              <w:t>Notes</w:t>
            </w:r>
            <w:r w:rsidRPr="00042071">
              <w:rPr>
                <w:b/>
                <w:bCs/>
                <w:szCs w:val="20"/>
              </w:rPr>
              <w:t>” section of the Pre-Review Activity:</w:t>
            </w:r>
          </w:p>
        </w:tc>
      </w:tr>
      <w:tr w:rsidR="00042071" w:rsidRPr="00042071" w14:paraId="46C615BF" w14:textId="77777777" w:rsidTr="00D256ED">
        <w:trPr>
          <w:jc w:val="center"/>
        </w:trPr>
        <w:tc>
          <w:tcPr>
            <w:tcW w:w="5508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46C615B1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Research is subject to regulations not overseen or conducted by the organization</w:t>
            </w:r>
          </w:p>
          <w:p w14:paraId="46C615B2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Positive financial declaration without a Conflict of Interest report</w:t>
            </w:r>
          </w:p>
          <w:p w14:paraId="46C615B3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Protocol information relates to an item in the list of institutional financial interests</w:t>
            </w:r>
          </w:p>
          <w:p w14:paraId="46C615B4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An IND is required and there is no IND</w:t>
            </w:r>
          </w:p>
          <w:p w14:paraId="46C615B5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An IND is required and there is insufficient documentation</w:t>
            </w:r>
          </w:p>
          <w:p w14:paraId="46C615B6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An IDE/HDE is required and there is no IDE/HDE</w:t>
            </w:r>
          </w:p>
          <w:p w14:paraId="46C615B7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An IDE/HDE is required and there is insufficient documentation</w:t>
            </w:r>
          </w:p>
          <w:p w14:paraId="46C615B8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There are inadequate provisions to control the drug(s)</w:t>
            </w: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46C615B9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There are inadequate provisions to control the device(s)</w:t>
            </w:r>
          </w:p>
          <w:p w14:paraId="46C615BA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There are inadequate provisions for an investigator held IND</w:t>
            </w:r>
          </w:p>
          <w:p w14:paraId="46C615BB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There are inadequate provisions for an investigator held IDE</w:t>
            </w:r>
          </w:p>
          <w:p w14:paraId="46C615BC" w14:textId="3FA7777C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 xml:space="preserve">External site(s) getting federal funds from the organization does not have a </w:t>
            </w:r>
            <w:proofErr w:type="spellStart"/>
            <w:r w:rsidRPr="00042071">
              <w:rPr>
                <w:szCs w:val="20"/>
              </w:rPr>
              <w:t>federalwide</w:t>
            </w:r>
            <w:proofErr w:type="spellEnd"/>
            <w:r w:rsidRPr="00042071">
              <w:rPr>
                <w:szCs w:val="20"/>
              </w:rPr>
              <w:t xml:space="preserve"> assurance (FWA)</w:t>
            </w:r>
          </w:p>
          <w:p w14:paraId="46C615BD" w14:textId="0FCF6955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The research involves adults unable to consent and statements by the investigator and legal counsel regarding which individuals are legally authorized representatives</w:t>
            </w:r>
            <w:r w:rsidR="002D277B" w:rsidRPr="00042071">
              <w:rPr>
                <w:szCs w:val="20"/>
              </w:rPr>
              <w:t xml:space="preserve"> (</w:t>
            </w:r>
            <w:r w:rsidR="00431DA9" w:rsidRPr="00042071">
              <w:rPr>
                <w:szCs w:val="20"/>
                <w:u w:val="double"/>
              </w:rPr>
              <w:t>LAR</w:t>
            </w:r>
            <w:r w:rsidR="002D277B" w:rsidRPr="00042071">
              <w:rPr>
                <w:szCs w:val="20"/>
                <w:u w:val="double"/>
              </w:rPr>
              <w:t>)</w:t>
            </w:r>
            <w:r w:rsidR="00431DA9" w:rsidRPr="00042071">
              <w:rPr>
                <w:szCs w:val="20"/>
                <w:u w:val="double"/>
              </w:rPr>
              <w:t xml:space="preserve"> </w:t>
            </w:r>
            <w:r w:rsidRPr="00042071">
              <w:rPr>
                <w:szCs w:val="20"/>
              </w:rPr>
              <w:t>do not match.</w:t>
            </w:r>
          </w:p>
          <w:p w14:paraId="46C615BE" w14:textId="77777777" w:rsidR="00925A70" w:rsidRPr="00042071" w:rsidRDefault="00925A70" w:rsidP="00D256ED">
            <w:pPr>
              <w:pStyle w:val="ChecklistSimple"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The research involves children and statements by the investigator and legal counsel regarding which persons do not match.</w:t>
            </w:r>
          </w:p>
        </w:tc>
      </w:tr>
      <w:tr w:rsidR="00042071" w:rsidRPr="00042071" w14:paraId="46C615C1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C0" w14:textId="77777777" w:rsidR="00925A70" w:rsidRPr="00042071" w:rsidRDefault="00925A70" w:rsidP="00F06612">
            <w:pPr>
              <w:pStyle w:val="ChecklistLevel1"/>
              <w:keepNext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lastRenderedPageBreak/>
              <w:t>CONTINUING REVIEW</w:t>
            </w:r>
          </w:p>
        </w:tc>
      </w:tr>
      <w:tr w:rsidR="00042071" w:rsidRPr="00042071" w14:paraId="46C615C3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46E6" w14:textId="56963BEE" w:rsidR="00D855A7" w:rsidRPr="00042071" w:rsidRDefault="00D855A7" w:rsidP="00F06612">
            <w:pPr>
              <w:pStyle w:val="ChecklistSimple"/>
              <w:keepNext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If Continuing review is not required, ask the investigator to discard the submission.</w:t>
            </w:r>
          </w:p>
          <w:p w14:paraId="46C615C2" w14:textId="3D7364AE" w:rsidR="00925A70" w:rsidRPr="00042071" w:rsidRDefault="00925A70" w:rsidP="00F06612">
            <w:pPr>
              <w:pStyle w:val="ChecklistSimple"/>
              <w:keepNext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 xml:space="preserve">Note missing Continuing review form in the “Missing Materials” section </w:t>
            </w:r>
            <w:r w:rsidRPr="00042071">
              <w:rPr>
                <w:bCs/>
                <w:szCs w:val="20"/>
              </w:rPr>
              <w:t xml:space="preserve">of </w:t>
            </w:r>
            <w:r w:rsidRPr="00042071">
              <w:rPr>
                <w:rFonts w:cs="Arial Narrow"/>
                <w:bCs/>
                <w:szCs w:val="20"/>
              </w:rPr>
              <w:t xml:space="preserve">the </w:t>
            </w:r>
            <w:r w:rsidRPr="00042071">
              <w:rPr>
                <w:szCs w:val="20"/>
              </w:rPr>
              <w:t>Pre-Review Activity.</w:t>
            </w:r>
          </w:p>
        </w:tc>
      </w:tr>
      <w:tr w:rsidR="00042071" w:rsidRPr="00042071" w14:paraId="46C615C5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C4" w14:textId="77777777" w:rsidR="00925A70" w:rsidRPr="00042071" w:rsidRDefault="00925A70" w:rsidP="00F06612">
            <w:pPr>
              <w:pStyle w:val="ChecklistLevel1"/>
              <w:keepNext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MODIFICATION</w:t>
            </w:r>
          </w:p>
        </w:tc>
      </w:tr>
      <w:tr w:rsidR="00042071" w:rsidRPr="00042071" w14:paraId="46C615C7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C6" w14:textId="77777777" w:rsidR="00925A70" w:rsidRPr="00042071" w:rsidRDefault="00925A70" w:rsidP="00F06612">
            <w:pPr>
              <w:pStyle w:val="ChecklistSimple"/>
              <w:keepNext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>Note missing modification form in the “Missing Materials” section</w:t>
            </w:r>
            <w:r w:rsidRPr="00042071">
              <w:rPr>
                <w:bCs/>
                <w:szCs w:val="20"/>
              </w:rPr>
              <w:t xml:space="preserve"> of </w:t>
            </w:r>
            <w:r w:rsidRPr="00042071">
              <w:rPr>
                <w:rFonts w:cs="Arial Narrow"/>
                <w:bCs/>
                <w:szCs w:val="20"/>
              </w:rPr>
              <w:t xml:space="preserve">the </w:t>
            </w:r>
            <w:r w:rsidRPr="00042071">
              <w:rPr>
                <w:szCs w:val="20"/>
              </w:rPr>
              <w:t>Pre-Review Activity.</w:t>
            </w:r>
          </w:p>
        </w:tc>
      </w:tr>
      <w:tr w:rsidR="000532F8" w:rsidRPr="00042071" w14:paraId="54B112DC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9A11" w14:textId="1F19F28C" w:rsidR="000532F8" w:rsidRPr="000532F8" w:rsidRDefault="000532F8" w:rsidP="000532F8">
            <w:pPr>
              <w:pStyle w:val="ChecklistSimple"/>
              <w:numPr>
                <w:ilvl w:val="0"/>
                <w:numId w:val="0"/>
              </w:numPr>
              <w:ind w:left="360" w:hanging="360"/>
              <w:rPr>
                <w:b/>
                <w:bCs/>
                <w:szCs w:val="20"/>
              </w:rPr>
            </w:pPr>
            <w:r w:rsidRPr="000532F8">
              <w:rPr>
                <w:b/>
                <w:bCs/>
                <w:szCs w:val="20"/>
              </w:rPr>
              <w:t xml:space="preserve">5     </w:t>
            </w:r>
            <w:r w:rsidRPr="000532F8">
              <w:rPr>
                <w:b/>
                <w:bCs/>
                <w:szCs w:val="20"/>
              </w:rPr>
              <w:t xml:space="preserve">INITIAL REVIEW and MODIFICATIONS FOR </w:t>
            </w:r>
            <w:proofErr w:type="spellStart"/>
            <w:r w:rsidRPr="000532F8">
              <w:rPr>
                <w:b/>
                <w:bCs/>
                <w:szCs w:val="20"/>
              </w:rPr>
              <w:t>pSITES</w:t>
            </w:r>
            <w:proofErr w:type="spellEnd"/>
            <w:r w:rsidRPr="000532F8">
              <w:rPr>
                <w:b/>
                <w:bCs/>
                <w:szCs w:val="20"/>
              </w:rPr>
              <w:t xml:space="preserve"> RELYING ON THIS IRB (when the modification affects one of the following)</w:t>
            </w:r>
          </w:p>
          <w:p w14:paraId="38055E89" w14:textId="3A9DE6A1" w:rsidR="000532F8" w:rsidRPr="000532F8" w:rsidRDefault="000532F8" w:rsidP="000532F8">
            <w:pPr>
              <w:pStyle w:val="ChecklistSimple"/>
              <w:rPr>
                <w:szCs w:val="20"/>
              </w:rPr>
            </w:pPr>
            <w:r w:rsidRPr="000532F8">
              <w:rPr>
                <w:szCs w:val="20"/>
              </w:rPr>
              <w:t xml:space="preserve"> The site record includes all of the following:</w:t>
            </w:r>
          </w:p>
          <w:p w14:paraId="410877E0" w14:textId="247D91F2" w:rsidR="000532F8" w:rsidRPr="000532F8" w:rsidRDefault="000532F8" w:rsidP="000532F8">
            <w:pPr>
              <w:pStyle w:val="ChecklistSimple"/>
              <w:rPr>
                <w:szCs w:val="20"/>
              </w:rPr>
            </w:pPr>
            <w:r w:rsidRPr="000532F8">
              <w:rPr>
                <w:szCs w:val="20"/>
              </w:rPr>
              <w:t>Completed Basic Information Page</w:t>
            </w:r>
          </w:p>
          <w:p w14:paraId="7CEB9880" w14:textId="4A58C052" w:rsidR="000532F8" w:rsidRPr="000532F8" w:rsidRDefault="000532F8" w:rsidP="000532F8">
            <w:pPr>
              <w:pStyle w:val="ChecklistSimple"/>
              <w:rPr>
                <w:szCs w:val="20"/>
              </w:rPr>
            </w:pPr>
            <w:r w:rsidRPr="000532F8">
              <w:rPr>
                <w:szCs w:val="20"/>
              </w:rPr>
              <w:t>Completed Local Funding Sources Page (if relevant)</w:t>
            </w:r>
          </w:p>
          <w:p w14:paraId="75465551" w14:textId="518EB293" w:rsidR="000532F8" w:rsidRPr="000532F8" w:rsidRDefault="000532F8" w:rsidP="000532F8">
            <w:pPr>
              <w:pStyle w:val="ChecklistSimple"/>
              <w:rPr>
                <w:szCs w:val="20"/>
              </w:rPr>
            </w:pPr>
            <w:r w:rsidRPr="000532F8">
              <w:rPr>
                <w:szCs w:val="20"/>
              </w:rPr>
              <w:t>Site Informed Consent Document</w:t>
            </w:r>
          </w:p>
          <w:p w14:paraId="28E42D78" w14:textId="04CB136E" w:rsidR="000532F8" w:rsidRPr="000532F8" w:rsidRDefault="000532F8" w:rsidP="000532F8">
            <w:pPr>
              <w:pStyle w:val="ChecklistSimple"/>
              <w:rPr>
                <w:szCs w:val="20"/>
              </w:rPr>
            </w:pPr>
            <w:r w:rsidRPr="000532F8">
              <w:rPr>
                <w:szCs w:val="20"/>
              </w:rPr>
              <w:t>All other documents required by the Study</w:t>
            </w:r>
          </w:p>
        </w:tc>
      </w:tr>
      <w:tr w:rsidR="00042071" w:rsidRPr="00042071" w14:paraId="46C615C9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C8" w14:textId="425E2BDE" w:rsidR="00925A70" w:rsidRPr="00042071" w:rsidRDefault="000532F8" w:rsidP="000532F8">
            <w:pPr>
              <w:pStyle w:val="ChecklistLevel1"/>
              <w:keepNext/>
              <w:numPr>
                <w:ilvl w:val="0"/>
                <w:numId w:val="0"/>
              </w:numPr>
              <w:spacing w:line="240" w:lineRule="exact"/>
              <w:ind w:left="720" w:hanging="720"/>
              <w:rPr>
                <w:szCs w:val="20"/>
              </w:rPr>
            </w:pPr>
            <w:r>
              <w:rPr>
                <w:szCs w:val="20"/>
              </w:rPr>
              <w:t xml:space="preserve">6      </w:t>
            </w:r>
            <w:r w:rsidR="00925A70" w:rsidRPr="00042071">
              <w:rPr>
                <w:szCs w:val="20"/>
              </w:rPr>
              <w:t>STUDY CLOSURE</w:t>
            </w:r>
          </w:p>
        </w:tc>
      </w:tr>
      <w:tr w:rsidR="00BA6461" w:rsidRPr="00042071" w14:paraId="46C615CB" w14:textId="77777777" w:rsidTr="00D256ED">
        <w:trPr>
          <w:jc w:val="center"/>
        </w:trPr>
        <w:tc>
          <w:tcPr>
            <w:tcW w:w="110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15CA" w14:textId="77777777" w:rsidR="00925A70" w:rsidRPr="00042071" w:rsidRDefault="00925A70" w:rsidP="00F06612">
            <w:pPr>
              <w:pStyle w:val="ChecklistSimple"/>
              <w:keepNext/>
              <w:spacing w:line="240" w:lineRule="exact"/>
              <w:rPr>
                <w:szCs w:val="20"/>
              </w:rPr>
            </w:pPr>
            <w:r w:rsidRPr="00042071">
              <w:rPr>
                <w:szCs w:val="20"/>
              </w:rPr>
              <w:t xml:space="preserve">Confirm that the research meets the criteria for closure and note in the Study Closure Section </w:t>
            </w:r>
            <w:r w:rsidRPr="00042071">
              <w:rPr>
                <w:bCs/>
                <w:szCs w:val="20"/>
              </w:rPr>
              <w:t xml:space="preserve">of </w:t>
            </w:r>
            <w:r w:rsidRPr="00042071">
              <w:rPr>
                <w:rFonts w:cs="Arial Narrow"/>
                <w:bCs/>
                <w:szCs w:val="20"/>
              </w:rPr>
              <w:t xml:space="preserve">the </w:t>
            </w:r>
            <w:r w:rsidRPr="00042071">
              <w:rPr>
                <w:szCs w:val="20"/>
              </w:rPr>
              <w:t>Pre-Review Activity.</w:t>
            </w:r>
          </w:p>
        </w:tc>
      </w:tr>
    </w:tbl>
    <w:p w14:paraId="46C615CC" w14:textId="77777777" w:rsidR="00925A70" w:rsidRPr="00042071" w:rsidRDefault="00925A70" w:rsidP="00925A70">
      <w:pPr>
        <w:rPr>
          <w:sz w:val="2"/>
          <w:szCs w:val="2"/>
        </w:rPr>
      </w:pPr>
    </w:p>
    <w:p w14:paraId="46C615CD" w14:textId="77777777" w:rsidR="00232770" w:rsidRDefault="00232770"/>
    <w:tbl>
      <w:tblPr>
        <w:tblStyle w:val="TableGrid"/>
        <w:tblW w:w="4585" w:type="dxa"/>
        <w:tblInd w:w="360" w:type="dxa"/>
        <w:tblLook w:val="04A0" w:firstRow="1" w:lastRow="0" w:firstColumn="1" w:lastColumn="0" w:noHBand="0" w:noVBand="1"/>
      </w:tblPr>
      <w:tblGrid>
        <w:gridCol w:w="900"/>
        <w:gridCol w:w="955"/>
        <w:gridCol w:w="2730"/>
      </w:tblGrid>
      <w:tr w:rsidR="00A20814" w14:paraId="39326FC4" w14:textId="77777777" w:rsidTr="004F047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BADF5" w14:textId="77777777" w:rsidR="00A20814" w:rsidRPr="00217960" w:rsidRDefault="00A20814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217960">
              <w:rPr>
                <w:rFonts w:ascii="Arial Narrow" w:hAnsi="Arial Narrow" w:cs="Tahoma"/>
                <w:b/>
                <w:sz w:val="20"/>
              </w:rPr>
              <w:t>Version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6845" w14:textId="77777777" w:rsidR="00A20814" w:rsidRPr="00217960" w:rsidRDefault="00A20814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217960">
              <w:rPr>
                <w:rFonts w:ascii="Arial Narrow" w:hAnsi="Arial Narrow" w:cs="Tahoma"/>
                <w:b/>
                <w:sz w:val="20"/>
              </w:rPr>
              <w:t>Date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5F7DC" w14:textId="77777777" w:rsidR="00A20814" w:rsidRPr="00217960" w:rsidRDefault="00A20814">
            <w:pPr>
              <w:spacing w:before="40" w:after="40"/>
              <w:rPr>
                <w:rFonts w:ascii="Arial Narrow" w:hAnsi="Arial Narrow" w:cs="Tahoma"/>
                <w:b/>
                <w:sz w:val="20"/>
              </w:rPr>
            </w:pPr>
            <w:r w:rsidRPr="00217960">
              <w:rPr>
                <w:rFonts w:ascii="Arial Narrow" w:hAnsi="Arial Narrow" w:cs="Tahoma"/>
                <w:b/>
                <w:sz w:val="20"/>
              </w:rPr>
              <w:t>Revisions</w:t>
            </w:r>
          </w:p>
        </w:tc>
      </w:tr>
      <w:tr w:rsidR="00C63589" w14:paraId="0CDEF6CF" w14:textId="77777777" w:rsidTr="004F047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745" w14:textId="771587A3" w:rsidR="00C63589" w:rsidRPr="0BDAE46D" w:rsidRDefault="00C63589" w:rsidP="0BDAE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65DAB" w14:textId="1F817D3F" w:rsidR="00C63589" w:rsidRPr="5A24365B" w:rsidRDefault="00C63589" w:rsidP="0BDAE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3/25/14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4D87" w14:textId="4DC89576" w:rsidR="00C63589" w:rsidRPr="0BDAE46D" w:rsidRDefault="00C63589" w:rsidP="0BDAE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 issue</w:t>
            </w:r>
          </w:p>
        </w:tc>
      </w:tr>
      <w:tr w:rsidR="00C63589" w14:paraId="2E6F016F" w14:textId="77777777" w:rsidTr="004F047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848C" w14:textId="0A0C2A07" w:rsidR="00C63589" w:rsidRPr="0BDAE46D" w:rsidRDefault="00C63589" w:rsidP="0BDAE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AC960" w14:textId="7F2D0BBA" w:rsidR="00C63589" w:rsidRPr="5A24365B" w:rsidRDefault="00C63589" w:rsidP="0BDAE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7/18/17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2B89" w14:textId="7AD89B1C" w:rsidR="00C63589" w:rsidRPr="0BDAE46D" w:rsidRDefault="00C63589" w:rsidP="0BDAE46D">
            <w:pPr>
              <w:jc w:val="center"/>
              <w:rPr>
                <w:sz w:val="20"/>
                <w:szCs w:val="20"/>
              </w:rPr>
            </w:pPr>
            <w:r w:rsidRPr="0BDAE46D">
              <w:rPr>
                <w:rFonts w:cs="Times New Roman"/>
                <w:sz w:val="20"/>
                <w:szCs w:val="20"/>
              </w:rPr>
              <w:t>Annual review, no changes</w:t>
            </w:r>
          </w:p>
        </w:tc>
      </w:tr>
      <w:tr w:rsidR="00C63589" w14:paraId="40B7979E" w14:textId="77777777" w:rsidTr="004F047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958C" w14:textId="787CD886" w:rsidR="00C63589" w:rsidRPr="0BDAE46D" w:rsidRDefault="00C63589" w:rsidP="0BDAE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F015" w14:textId="2484CBAD" w:rsidR="00C63589" w:rsidRPr="5A24365B" w:rsidRDefault="00C63589" w:rsidP="0BDAE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1/21/19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C0F66" w14:textId="7205DBCD" w:rsidR="00C63589" w:rsidRPr="0BDAE46D" w:rsidRDefault="00C63589" w:rsidP="00C63589">
            <w:pPr>
              <w:jc w:val="center"/>
              <w:rPr>
                <w:sz w:val="20"/>
                <w:szCs w:val="20"/>
              </w:rPr>
            </w:pPr>
            <w:r w:rsidRPr="0BDAE46D">
              <w:rPr>
                <w:rFonts w:cs="Times New Roman"/>
                <w:sz w:val="20"/>
                <w:szCs w:val="20"/>
              </w:rPr>
              <w:t xml:space="preserve">Annual review, </w:t>
            </w:r>
            <w:r>
              <w:rPr>
                <w:rFonts w:cs="Times New Roman"/>
                <w:sz w:val="20"/>
                <w:szCs w:val="20"/>
              </w:rPr>
              <w:t>revised common rule</w:t>
            </w:r>
          </w:p>
        </w:tc>
      </w:tr>
      <w:tr w:rsidR="00C63589" w14:paraId="460C5D31" w14:textId="77777777" w:rsidTr="004F047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9D51" w14:textId="4C4D001E" w:rsidR="00C63589" w:rsidRPr="0BDAE46D" w:rsidRDefault="00C63589" w:rsidP="0BDAE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F52E" w14:textId="60084494" w:rsidR="00C63589" w:rsidRPr="5A24365B" w:rsidRDefault="00C63589" w:rsidP="0BDAE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12/18/20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CDDC" w14:textId="7C53C004" w:rsidR="00C63589" w:rsidRPr="0BDAE46D" w:rsidRDefault="00C63589" w:rsidP="0BDAE46D">
            <w:pPr>
              <w:jc w:val="center"/>
              <w:rPr>
                <w:sz w:val="20"/>
                <w:szCs w:val="20"/>
              </w:rPr>
            </w:pPr>
            <w:r w:rsidRPr="0BDAE46D">
              <w:rPr>
                <w:rFonts w:cs="Times New Roman"/>
                <w:sz w:val="20"/>
                <w:szCs w:val="20"/>
              </w:rPr>
              <w:t>Annual review</w:t>
            </w:r>
            <w:r>
              <w:rPr>
                <w:rFonts w:cs="Times New Roman"/>
                <w:sz w:val="20"/>
                <w:szCs w:val="20"/>
              </w:rPr>
              <w:t>, updated logo</w:t>
            </w:r>
          </w:p>
        </w:tc>
      </w:tr>
      <w:tr w:rsidR="0BDAE46D" w14:paraId="1A7DF222" w14:textId="77777777" w:rsidTr="004F047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A4AF" w14:textId="608BAA77" w:rsidR="0BDAE46D" w:rsidRDefault="0BDAE46D" w:rsidP="0BDAE4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BDAE46D">
              <w:rPr>
                <w:rFonts w:cs="Times New Roman"/>
                <w:sz w:val="20"/>
                <w:szCs w:val="20"/>
              </w:rPr>
              <w:t>R01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075A" w14:textId="3724423D" w:rsidR="0BDAE46D" w:rsidRDefault="5A24365B" w:rsidP="0BDAE46D">
            <w:pPr>
              <w:jc w:val="center"/>
              <w:rPr>
                <w:rFonts w:cs="Times New Roman"/>
                <w:sz w:val="20"/>
                <w:szCs w:val="20"/>
              </w:rPr>
            </w:pPr>
            <w:r w:rsidRPr="5A24365B">
              <w:rPr>
                <w:rFonts w:cs="Times New Roman"/>
                <w:sz w:val="20"/>
                <w:szCs w:val="20"/>
              </w:rPr>
              <w:t>11/29/22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0005" w14:textId="4E8115FD" w:rsidR="0BDAE46D" w:rsidRDefault="0BDAE46D" w:rsidP="0BDAE46D">
            <w:pPr>
              <w:jc w:val="center"/>
              <w:rPr>
                <w:rFonts w:cs="Times New Roman"/>
                <w:sz w:val="20"/>
                <w:szCs w:val="20"/>
              </w:rPr>
            </w:pPr>
            <w:r w:rsidRPr="0BDAE46D">
              <w:rPr>
                <w:rFonts w:cs="Times New Roman"/>
                <w:sz w:val="20"/>
                <w:szCs w:val="20"/>
              </w:rPr>
              <w:t>Annual review, no changes</w:t>
            </w:r>
          </w:p>
        </w:tc>
      </w:tr>
      <w:tr w:rsidR="00C63589" w14:paraId="7101099A" w14:textId="77777777" w:rsidTr="004F047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2C17B" w14:textId="365CDC99" w:rsidR="00C63589" w:rsidRPr="0BDAE46D" w:rsidRDefault="00C63589" w:rsidP="00C63589">
            <w:pPr>
              <w:jc w:val="center"/>
              <w:rPr>
                <w:sz w:val="20"/>
                <w:szCs w:val="20"/>
              </w:rPr>
            </w:pPr>
            <w:r w:rsidRPr="0BDAE46D">
              <w:rPr>
                <w:rFonts w:cs="Times New Roman"/>
                <w:sz w:val="20"/>
                <w:szCs w:val="20"/>
              </w:rPr>
              <w:t>R01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4C80" w14:textId="6DCAEB2F" w:rsidR="00C63589" w:rsidRPr="5A24365B" w:rsidRDefault="00C63589" w:rsidP="00C63589">
            <w:pPr>
              <w:jc w:val="center"/>
              <w:rPr>
                <w:sz w:val="20"/>
                <w:szCs w:val="20"/>
              </w:rPr>
            </w:pPr>
            <w:r w:rsidRPr="5A24365B">
              <w:rPr>
                <w:rFonts w:cs="Times New Roman"/>
                <w:sz w:val="20"/>
                <w:szCs w:val="20"/>
              </w:rPr>
              <w:t>11/</w:t>
            </w:r>
            <w:r>
              <w:rPr>
                <w:rFonts w:cs="Times New Roman"/>
                <w:sz w:val="20"/>
                <w:szCs w:val="20"/>
              </w:rPr>
              <w:t>15/23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828B" w14:textId="27DE4934" w:rsidR="00C63589" w:rsidRPr="0BDAE46D" w:rsidRDefault="00C63589" w:rsidP="00C63589">
            <w:pPr>
              <w:jc w:val="center"/>
              <w:rPr>
                <w:sz w:val="20"/>
                <w:szCs w:val="20"/>
              </w:rPr>
            </w:pPr>
            <w:r w:rsidRPr="0BDAE46D">
              <w:rPr>
                <w:rFonts w:cs="Times New Roman"/>
                <w:sz w:val="20"/>
                <w:szCs w:val="20"/>
              </w:rPr>
              <w:t>Annual review, no changes</w:t>
            </w:r>
          </w:p>
        </w:tc>
      </w:tr>
      <w:tr w:rsidR="000532F8" w14:paraId="1B4A2FA8" w14:textId="77777777" w:rsidTr="004F047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5078" w14:textId="634C456F" w:rsidR="000532F8" w:rsidRPr="0BDAE46D" w:rsidRDefault="000532F8" w:rsidP="00C63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E86F" w14:textId="4BD481DC" w:rsidR="000532F8" w:rsidRPr="5A24365B" w:rsidRDefault="000532F8" w:rsidP="00C63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10/29/24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9FD3" w14:textId="0487D8D1" w:rsidR="000532F8" w:rsidRPr="0BDAE46D" w:rsidRDefault="000532F8" w:rsidP="00C635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 review, added section 5</w:t>
            </w:r>
          </w:p>
        </w:tc>
      </w:tr>
    </w:tbl>
    <w:p w14:paraId="47690765" w14:textId="5A95EE14" w:rsidR="00A20814" w:rsidRPr="00042071" w:rsidRDefault="00A20814"/>
    <w:sectPr w:rsidR="00A20814" w:rsidRPr="00042071" w:rsidSect="009E3420">
      <w:type w:val="continuous"/>
      <w:pgSz w:w="12240" w:h="15840"/>
      <w:pgMar w:top="576" w:right="432" w:bottom="576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EA9BD" w14:textId="77777777" w:rsidR="005D733C" w:rsidRDefault="005D733C" w:rsidP="00B7416E">
      <w:r>
        <w:separator/>
      </w:r>
    </w:p>
  </w:endnote>
  <w:endnote w:type="continuationSeparator" w:id="0">
    <w:p w14:paraId="43E8E739" w14:textId="77777777" w:rsidR="005D733C" w:rsidRDefault="005D733C" w:rsidP="00B7416E">
      <w:r>
        <w:continuationSeparator/>
      </w:r>
    </w:p>
  </w:endnote>
  <w:endnote w:type="continuationNotice" w:id="1">
    <w:p w14:paraId="3C6C7C6E" w14:textId="77777777" w:rsidR="005D733C" w:rsidRDefault="005D73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5CD262" w14:textId="77777777" w:rsidR="00217960" w:rsidRDefault="002179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12979" w14:textId="77777777" w:rsidR="00217960" w:rsidRDefault="0021796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12D34" w14:textId="77777777" w:rsidR="00217960" w:rsidRDefault="00217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23F36" w14:textId="77777777" w:rsidR="005D733C" w:rsidRDefault="005D733C" w:rsidP="00B7416E">
      <w:r>
        <w:separator/>
      </w:r>
    </w:p>
  </w:footnote>
  <w:footnote w:type="continuationSeparator" w:id="0">
    <w:p w14:paraId="590C960B" w14:textId="77777777" w:rsidR="005D733C" w:rsidRDefault="005D733C" w:rsidP="00B7416E">
      <w:r>
        <w:continuationSeparator/>
      </w:r>
    </w:p>
  </w:footnote>
  <w:footnote w:type="continuationNotice" w:id="1">
    <w:p w14:paraId="382F724A" w14:textId="77777777" w:rsidR="005D733C" w:rsidRDefault="005D73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81F7C" w14:textId="77777777" w:rsidR="00217960" w:rsidRDefault="002179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61" w:type="pct"/>
      <w:tblInd w:w="1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4153"/>
      <w:gridCol w:w="2584"/>
      <w:gridCol w:w="2441"/>
      <w:gridCol w:w="1317"/>
    </w:tblGrid>
    <w:tr w:rsidR="00C4296B" w14:paraId="3C550C85" w14:textId="77777777" w:rsidTr="00A20814">
      <w:trPr>
        <w:cantSplit/>
        <w:trHeight w:val="260"/>
      </w:trPr>
      <w:tc>
        <w:tcPr>
          <w:tcW w:w="4153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417140A3" w14:textId="476EA9E8" w:rsidR="00C4296B" w:rsidRDefault="00042071" w:rsidP="00C4296B">
          <w:pPr>
            <w:rPr>
              <w:rFonts w:ascii="Arial" w:hAnsi="Arial" w:cs="Arial"/>
            </w:rPr>
          </w:pPr>
          <w:r>
            <w:rPr>
              <w:noProof/>
            </w:rPr>
            <w:t xml:space="preserve">                </w:t>
          </w:r>
          <w:r w:rsidR="00217960">
            <w:rPr>
              <w:noProof/>
            </w:rPr>
            <w:drawing>
              <wp:inline distT="0" distB="0" distL="0" distR="0" wp14:anchorId="7B7916AC" wp14:editId="368192EB">
                <wp:extent cx="2238375" cy="503555"/>
                <wp:effectExtent l="0" t="0" r="9525" b="0"/>
                <wp:docPr id="4" name="Picture 4" descr="cid:image002.png@01D59FB1.63072CA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cid:image002.png@01D59FB1.63072CA0"/>
                        <pic:cNvPicPr/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837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2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0C979DE" w14:textId="34FD9BBA" w:rsidR="00C4296B" w:rsidRDefault="00C4296B" w:rsidP="00C4296B">
          <w:pPr>
            <w:pStyle w:val="SOPName"/>
            <w:spacing w:before="120" w:after="120"/>
            <w:jc w:val="center"/>
            <w:rPr>
              <w:rFonts w:ascii="Arial" w:hAnsi="Arial" w:cs="Arial"/>
            </w:rPr>
          </w:pPr>
          <w:r>
            <w:rPr>
              <w:rStyle w:val="SOPLeader"/>
              <w:rFonts w:ascii="Arial" w:hAnsi="Arial" w:cs="Arial"/>
            </w:rPr>
            <w:t xml:space="preserve">WORKSHEET: </w:t>
          </w:r>
          <w:r w:rsidRPr="00A814B1">
            <w:rPr>
              <w:rStyle w:val="SOPLeader"/>
              <w:rFonts w:ascii="Arial" w:hAnsi="Arial" w:cs="Arial"/>
            </w:rPr>
            <w:t>Pre-Review</w:t>
          </w:r>
        </w:p>
      </w:tc>
    </w:tr>
    <w:tr w:rsidR="00C4296B" w14:paraId="61415D4C" w14:textId="77777777" w:rsidTr="00A20814">
      <w:trPr>
        <w:cantSplit/>
        <w:trHeight w:val="288"/>
      </w:trPr>
      <w:tc>
        <w:tcPr>
          <w:tcW w:w="4153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25CE201C" w14:textId="77777777" w:rsidR="00C4296B" w:rsidRDefault="00C4296B" w:rsidP="00C4296B">
          <w:pPr>
            <w:rPr>
              <w:rFonts w:ascii="Arial" w:hAnsi="Arial" w:cs="Arial"/>
            </w:rPr>
          </w:pPr>
        </w:p>
      </w:tc>
      <w:tc>
        <w:tcPr>
          <w:tcW w:w="2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6FB2AB2F" w14:textId="77777777" w:rsidR="00C4296B" w:rsidRDefault="00C4296B" w:rsidP="00C4296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4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345E222F" w14:textId="77777777" w:rsidR="00C4296B" w:rsidRDefault="00C4296B" w:rsidP="00C4296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13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1A524582" w14:textId="77777777" w:rsidR="00C4296B" w:rsidRDefault="00C4296B" w:rsidP="00C4296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C4296B" w14:paraId="07AD5AB1" w14:textId="77777777" w:rsidTr="00A20814">
      <w:trPr>
        <w:cantSplit/>
        <w:trHeight w:val="288"/>
      </w:trPr>
      <w:tc>
        <w:tcPr>
          <w:tcW w:w="4153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14:paraId="23A51AFB" w14:textId="77777777" w:rsidR="00C4296B" w:rsidRDefault="00C4296B" w:rsidP="00C4296B">
          <w:pPr>
            <w:rPr>
              <w:rFonts w:ascii="Arial" w:hAnsi="Arial" w:cs="Arial"/>
            </w:rPr>
          </w:pPr>
        </w:p>
      </w:tc>
      <w:tc>
        <w:tcPr>
          <w:tcW w:w="2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1008D804" w14:textId="1CA299AE" w:rsidR="00C4296B" w:rsidRDefault="00C4296B" w:rsidP="00C4296B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HRP-308</w:t>
          </w:r>
          <w:r w:rsidR="00217960">
            <w:rPr>
              <w:rFonts w:ascii="Arial" w:hAnsi="Arial" w:cs="Arial"/>
            </w:rPr>
            <w:t>-R01</w:t>
          </w:r>
        </w:p>
      </w:tc>
      <w:tc>
        <w:tcPr>
          <w:tcW w:w="244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3E53DA35" w14:textId="3056712D" w:rsidR="00C4296B" w:rsidRDefault="00C4296B" w:rsidP="00217960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  <w:r w:rsidR="00217960">
            <w:rPr>
              <w:rFonts w:ascii="Arial" w:hAnsi="Arial" w:cs="Arial"/>
            </w:rPr>
            <w:t>/21/19</w:t>
          </w:r>
        </w:p>
      </w:tc>
      <w:tc>
        <w:tcPr>
          <w:tcW w:w="13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29" w:type="dxa"/>
            <w:bottom w:w="0" w:type="dxa"/>
            <w:right w:w="29" w:type="dxa"/>
          </w:tcMar>
          <w:vAlign w:val="center"/>
          <w:hideMark/>
        </w:tcPr>
        <w:p w14:paraId="31E70B68" w14:textId="22273316" w:rsidR="00C4296B" w:rsidRDefault="00C4296B" w:rsidP="00C4296B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</w:rPr>
            <w:instrText xml:space="preserve"> PAGE </w:instrText>
          </w:r>
          <w:r>
            <w:rPr>
              <w:rFonts w:ascii="Arial" w:hAnsi="Arial" w:cs="Arial"/>
            </w:rPr>
            <w:fldChar w:fldCharType="separate"/>
          </w:r>
          <w:r w:rsidR="00C63589">
            <w:rPr>
              <w:rFonts w:ascii="Arial" w:hAnsi="Arial" w:cs="Arial"/>
              <w:noProof/>
            </w:rPr>
            <w:t>1</w:t>
          </w:r>
          <w:r>
            <w:rPr>
              <w:rFonts w:ascii="Arial" w:hAnsi="Arial" w:cs="Arial"/>
            </w:rPr>
            <w:fldChar w:fldCharType="end"/>
          </w:r>
          <w:r>
            <w:rPr>
              <w:rFonts w:ascii="Arial" w:hAnsi="Arial" w:cs="Arial"/>
            </w:rPr>
            <w:t xml:space="preserve"> of </w:t>
          </w:r>
          <w:r>
            <w:rPr>
              <w:rFonts w:ascii="Arial" w:hAnsi="Arial" w:cs="Arial"/>
            </w:rPr>
            <w:fldChar w:fldCharType="begin"/>
          </w:r>
          <w:r>
            <w:rPr>
              <w:rFonts w:ascii="Arial" w:hAnsi="Arial" w:cs="Arial"/>
              <w:noProof/>
            </w:rPr>
            <w:instrText xml:space="preserve"> NUMPAGES </w:instrText>
          </w:r>
          <w:r>
            <w:rPr>
              <w:rFonts w:ascii="Arial" w:hAnsi="Arial" w:cs="Arial"/>
            </w:rPr>
            <w:fldChar w:fldCharType="separate"/>
          </w:r>
          <w:r w:rsidR="00C63589">
            <w:rPr>
              <w:rFonts w:ascii="Arial" w:hAnsi="Arial" w:cs="Arial"/>
              <w:noProof/>
            </w:rPr>
            <w:t>2</w:t>
          </w:r>
          <w:r>
            <w:rPr>
              <w:rFonts w:ascii="Arial" w:hAnsi="Arial" w:cs="Arial"/>
            </w:rPr>
            <w:fldChar w:fldCharType="end"/>
          </w:r>
        </w:p>
      </w:tc>
    </w:tr>
  </w:tbl>
  <w:p w14:paraId="46C615DF" w14:textId="77777777" w:rsidR="00516FCE" w:rsidRPr="00321577" w:rsidRDefault="00516FCE" w:rsidP="00516FCE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B1EB6C" w14:textId="77777777" w:rsidR="00217960" w:rsidRDefault="002179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82879"/>
    <w:multiLevelType w:val="multilevel"/>
    <w:tmpl w:val="E4D2EB18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655556">
    <w:abstractNumId w:val="0"/>
  </w:num>
  <w:num w:numId="2" w16cid:durableId="444351945">
    <w:abstractNumId w:val="1"/>
  </w:num>
  <w:num w:numId="3" w16cid:durableId="2016690178">
    <w:abstractNumId w:val="0"/>
    <w:lvlOverride w:ilvl="0">
      <w:startOverride w:val="1"/>
    </w:lvlOverride>
  </w:num>
  <w:num w:numId="4" w16cid:durableId="1353652554">
    <w:abstractNumId w:val="1"/>
  </w:num>
  <w:num w:numId="5" w16cid:durableId="1203130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NotDisplayPageBoundaries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16E"/>
    <w:rsid w:val="00015BAA"/>
    <w:rsid w:val="00042071"/>
    <w:rsid w:val="000532F8"/>
    <w:rsid w:val="000B5BDB"/>
    <w:rsid w:val="001141D0"/>
    <w:rsid w:val="0014210A"/>
    <w:rsid w:val="00155D74"/>
    <w:rsid w:val="00160612"/>
    <w:rsid w:val="001B4325"/>
    <w:rsid w:val="001C7844"/>
    <w:rsid w:val="001E7F51"/>
    <w:rsid w:val="00214E4A"/>
    <w:rsid w:val="00217960"/>
    <w:rsid w:val="00232770"/>
    <w:rsid w:val="00241720"/>
    <w:rsid w:val="00264C13"/>
    <w:rsid w:val="002D277B"/>
    <w:rsid w:val="0035061A"/>
    <w:rsid w:val="00376D10"/>
    <w:rsid w:val="00384B89"/>
    <w:rsid w:val="00386D94"/>
    <w:rsid w:val="003B3161"/>
    <w:rsid w:val="003E527D"/>
    <w:rsid w:val="003F7E05"/>
    <w:rsid w:val="00411B29"/>
    <w:rsid w:val="004300FD"/>
    <w:rsid w:val="00430107"/>
    <w:rsid w:val="00431DA9"/>
    <w:rsid w:val="00443F81"/>
    <w:rsid w:val="00461360"/>
    <w:rsid w:val="00463342"/>
    <w:rsid w:val="004724BB"/>
    <w:rsid w:val="00474312"/>
    <w:rsid w:val="00475DC3"/>
    <w:rsid w:val="004B3F7F"/>
    <w:rsid w:val="004B704D"/>
    <w:rsid w:val="004F047B"/>
    <w:rsid w:val="004F4A30"/>
    <w:rsid w:val="00516FCE"/>
    <w:rsid w:val="0051785F"/>
    <w:rsid w:val="00566BF2"/>
    <w:rsid w:val="0057045B"/>
    <w:rsid w:val="00582B8F"/>
    <w:rsid w:val="00583355"/>
    <w:rsid w:val="005A2261"/>
    <w:rsid w:val="005B3634"/>
    <w:rsid w:val="005D733C"/>
    <w:rsid w:val="00610660"/>
    <w:rsid w:val="00634B14"/>
    <w:rsid w:val="006431F8"/>
    <w:rsid w:val="00662E8D"/>
    <w:rsid w:val="006709BD"/>
    <w:rsid w:val="006825BB"/>
    <w:rsid w:val="00686FE1"/>
    <w:rsid w:val="006A450C"/>
    <w:rsid w:val="006B46C4"/>
    <w:rsid w:val="006C25A3"/>
    <w:rsid w:val="006F3AF7"/>
    <w:rsid w:val="00702FC4"/>
    <w:rsid w:val="007516AB"/>
    <w:rsid w:val="00766F4C"/>
    <w:rsid w:val="00776F92"/>
    <w:rsid w:val="007A7B26"/>
    <w:rsid w:val="007B1FAA"/>
    <w:rsid w:val="007E1BD0"/>
    <w:rsid w:val="007F5925"/>
    <w:rsid w:val="008671CE"/>
    <w:rsid w:val="008A21F3"/>
    <w:rsid w:val="008E4487"/>
    <w:rsid w:val="00925A70"/>
    <w:rsid w:val="0093375B"/>
    <w:rsid w:val="00977A04"/>
    <w:rsid w:val="00990578"/>
    <w:rsid w:val="00994150"/>
    <w:rsid w:val="009A6684"/>
    <w:rsid w:val="009B2C8C"/>
    <w:rsid w:val="009C6E88"/>
    <w:rsid w:val="009E3420"/>
    <w:rsid w:val="00A20814"/>
    <w:rsid w:val="00A34D0D"/>
    <w:rsid w:val="00A74FB8"/>
    <w:rsid w:val="00A814B1"/>
    <w:rsid w:val="00A847B3"/>
    <w:rsid w:val="00B41A63"/>
    <w:rsid w:val="00B729A2"/>
    <w:rsid w:val="00B7416E"/>
    <w:rsid w:val="00B82652"/>
    <w:rsid w:val="00BA6461"/>
    <w:rsid w:val="00BC58E2"/>
    <w:rsid w:val="00BE4695"/>
    <w:rsid w:val="00C22718"/>
    <w:rsid w:val="00C255F9"/>
    <w:rsid w:val="00C4296B"/>
    <w:rsid w:val="00C63589"/>
    <w:rsid w:val="00C670F9"/>
    <w:rsid w:val="00C85AC5"/>
    <w:rsid w:val="00CA490C"/>
    <w:rsid w:val="00D33BB9"/>
    <w:rsid w:val="00D40242"/>
    <w:rsid w:val="00D53058"/>
    <w:rsid w:val="00D855A7"/>
    <w:rsid w:val="00E015A0"/>
    <w:rsid w:val="00E12E65"/>
    <w:rsid w:val="00E25BFC"/>
    <w:rsid w:val="00E763A1"/>
    <w:rsid w:val="00EA564A"/>
    <w:rsid w:val="00EB0DA0"/>
    <w:rsid w:val="00EB568C"/>
    <w:rsid w:val="00F06612"/>
    <w:rsid w:val="00F30DE3"/>
    <w:rsid w:val="00F33B84"/>
    <w:rsid w:val="00F36857"/>
    <w:rsid w:val="00F53A07"/>
    <w:rsid w:val="00F81777"/>
    <w:rsid w:val="00FC7CB0"/>
    <w:rsid w:val="00FF57B6"/>
    <w:rsid w:val="0BDAE46D"/>
    <w:rsid w:val="5A24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6C614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D1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B7416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rsid w:val="00B7416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semiHidden/>
    <w:rsid w:val="00B7416E"/>
    <w:rPr>
      <w:color w:val="0000FF"/>
      <w:u w:val="single"/>
    </w:rPr>
  </w:style>
  <w:style w:type="paragraph" w:customStyle="1" w:styleId="ChecklistBasis">
    <w:name w:val="Checklist Basis"/>
    <w:rsid w:val="00B7416E"/>
    <w:rPr>
      <w:rFonts w:ascii="Arial Narrow" w:eastAsia="Times New Roman" w:hAnsi="Arial Narrow"/>
      <w:szCs w:val="24"/>
    </w:rPr>
  </w:style>
  <w:style w:type="paragraph" w:customStyle="1" w:styleId="ChecklistLevel1">
    <w:name w:val="Checklist Level 1"/>
    <w:basedOn w:val="ChecklistBasis"/>
    <w:rsid w:val="00B7416E"/>
    <w:pPr>
      <w:numPr>
        <w:numId w:val="1"/>
      </w:numPr>
      <w:tabs>
        <w:tab w:val="left" w:pos="360"/>
      </w:tabs>
    </w:pPr>
    <w:rPr>
      <w:b/>
    </w:rPr>
  </w:style>
  <w:style w:type="paragraph" w:customStyle="1" w:styleId="ChecklistLevel2">
    <w:name w:val="Checklist Level 2"/>
    <w:basedOn w:val="ChecklistLevel1"/>
    <w:rsid w:val="00B7416E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B7416E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B7416E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paragraph" w:customStyle="1" w:styleId="ChecklistSimple">
    <w:name w:val="Checklist Simple"/>
    <w:basedOn w:val="ChecklistLevel2"/>
    <w:rsid w:val="00B7416E"/>
    <w:pPr>
      <w:numPr>
        <w:ilvl w:val="0"/>
        <w:numId w:val="2"/>
      </w:numPr>
    </w:pPr>
  </w:style>
  <w:style w:type="paragraph" w:customStyle="1" w:styleId="SOPFooter">
    <w:name w:val="SOP Footer"/>
    <w:basedOn w:val="Normal"/>
    <w:rsid w:val="00B7416E"/>
    <w:pPr>
      <w:jc w:val="center"/>
    </w:pPr>
    <w:rPr>
      <w:rFonts w:ascii="Arial" w:hAnsi="Arial" w:cs="Tahoma"/>
      <w:sz w:val="16"/>
      <w:szCs w:val="20"/>
    </w:rPr>
  </w:style>
  <w:style w:type="character" w:customStyle="1" w:styleId="SOPLeader">
    <w:name w:val="SOP Leader"/>
    <w:rsid w:val="00B7416E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B7416E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B7416E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B7416E"/>
    <w:rPr>
      <w:sz w:val="18"/>
    </w:rPr>
  </w:style>
  <w:style w:type="character" w:styleId="CommentReference">
    <w:name w:val="annotation reference"/>
    <w:rsid w:val="00B7416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416E"/>
    <w:rPr>
      <w:sz w:val="20"/>
      <w:szCs w:val="20"/>
    </w:rPr>
  </w:style>
  <w:style w:type="character" w:customStyle="1" w:styleId="CommentTextChar">
    <w:name w:val="Comment Text Char"/>
    <w:link w:val="CommentText"/>
    <w:rsid w:val="00B7416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41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416E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741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7416E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5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825BB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3B8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A20814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59FB1.63072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2ef64c7a-f0db-4be9-a2d1-a81bc31083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FAB7783FE4AE4B85EBF9F649CA2265" ma:contentTypeVersion="5" ma:contentTypeDescription="Create a new document." ma:contentTypeScope="" ma:versionID="c7521245f22473f7577c45e815242308">
  <xsd:schema xmlns:xsd="http://www.w3.org/2001/XMLSchema" xmlns:xs="http://www.w3.org/2001/XMLSchema" xmlns:p="http://schemas.microsoft.com/office/2006/metadata/properties" xmlns:ns2="2ef64c7a-f0db-4be9-a2d1-a81bc3108332" xmlns:ns3="56c6f19a-effe-4935-9341-fe92395bebc7" targetNamespace="http://schemas.microsoft.com/office/2006/metadata/properties" ma:root="true" ma:fieldsID="7f0a221080e827f9b88c49774fbc38f2" ns2:_="" ns3:_="">
    <xsd:import namespace="2ef64c7a-f0db-4be9-a2d1-a81bc3108332"/>
    <xsd:import namespace="56c6f19a-effe-4935-9341-fe92395beb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64c7a-f0db-4be9-a2d1-a81bc31083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s0" ma:index="12" nillable="true" ma:displayName="Notes" ma:description="This field includes notes related to the uploaded files.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6f19a-effe-4935-9341-fe92395beb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869D8A-3A6B-4FB4-97F1-8AC1C76A0F08}">
  <ds:schemaRefs>
    <ds:schemaRef ds:uri="http://purl.org/dc/dcmitype/"/>
    <ds:schemaRef ds:uri="56c6f19a-effe-4935-9341-fe92395bebc7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ef64c7a-f0db-4be9-a2d1-a81bc3108332"/>
  </ds:schemaRefs>
</ds:datastoreItem>
</file>

<file path=customXml/itemProps2.xml><?xml version="1.0" encoding="utf-8"?>
<ds:datastoreItem xmlns:ds="http://schemas.openxmlformats.org/officeDocument/2006/customXml" ds:itemID="{B77A7F8C-49DF-4359-8ECC-4D5469044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f64c7a-f0db-4be9-a2d1-a81bc3108332"/>
    <ds:schemaRef ds:uri="56c6f19a-effe-4935-9341-fe92395be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D058A8-8058-43A5-857B-36D0F4827D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7ECB48-A811-46AE-BCF6-CECEF8EAD6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866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2023-11-15T20:23:00Z</dcterms:created>
  <dcterms:modified xsi:type="dcterms:W3CDTF">2024-10-29T15:05:00Z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0x010100DEFAB7783FE4AE4B85EBF9F649CA2265</vt:lpwstr>
  </property>
</Properties>
</file>