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E0DDF" w14:textId="77777777" w:rsidR="005D44CD" w:rsidRPr="008576AA" w:rsidRDefault="005D44CD" w:rsidP="00F32317">
      <w:pPr>
        <w:pStyle w:val="SOPLevel1"/>
        <w:spacing w:before="120" w:after="120"/>
      </w:pPr>
      <w:r w:rsidRPr="008576AA">
        <w:t>PURPOSE</w:t>
      </w:r>
    </w:p>
    <w:p w14:paraId="38A6C701" w14:textId="77777777" w:rsidR="005D44CD" w:rsidRDefault="005D44CD" w:rsidP="00BA6AAD">
      <w:pPr>
        <w:pStyle w:val="SOPLevel2"/>
      </w:pPr>
      <w:r>
        <w:t xml:space="preserve">This procedure establishes the process for the organization to review </w:t>
      </w:r>
      <w:r w:rsidRPr="00E63956">
        <w:t>research</w:t>
      </w:r>
      <w:r>
        <w:t xml:space="preserve"> that is not otherwise approvable, but because the </w:t>
      </w:r>
      <w:r w:rsidRPr="00E63956">
        <w:t>research</w:t>
      </w:r>
      <w:r>
        <w:t xml:space="preserve"> is not subject to regulatory approval no government agency will conduct a review of this </w:t>
      </w:r>
      <w:r w:rsidRPr="00E63956">
        <w:t>research</w:t>
      </w:r>
      <w:r>
        <w:t xml:space="preserve"> to determine whether it can be approved.</w:t>
      </w:r>
    </w:p>
    <w:p w14:paraId="712D4488" w14:textId="7A5873EE" w:rsidR="005D44CD" w:rsidRDefault="005D44CD" w:rsidP="00BA6AAD">
      <w:pPr>
        <w:pStyle w:val="SOPLevel2"/>
      </w:pPr>
      <w:r>
        <w:t xml:space="preserve">This process begins when the </w:t>
      </w:r>
      <w:bookmarkStart w:id="0" w:name="_Hlk523422479"/>
      <w:r>
        <w:t xml:space="preserve">IRB determines that </w:t>
      </w:r>
      <w:r w:rsidRPr="00E63956">
        <w:t>research</w:t>
      </w:r>
      <w:r>
        <w:t xml:space="preserve"> involving children, pregnant women, or fetuses as subjects is not otherwise approvable, but presents a reasonable opportunity to understand, prevent, or alleviate a serious problem affecting those subjects</w:t>
      </w:r>
      <w:r w:rsidR="003D065E">
        <w:t>’</w:t>
      </w:r>
      <w:r>
        <w:t xml:space="preserve"> health or welfare.</w:t>
      </w:r>
      <w:bookmarkEnd w:id="0"/>
    </w:p>
    <w:p w14:paraId="70AB0712" w14:textId="089398BD" w:rsidR="005D44CD" w:rsidRDefault="005D44CD" w:rsidP="00BA6AAD">
      <w:pPr>
        <w:pStyle w:val="SOPLevel2"/>
      </w:pPr>
      <w:r>
        <w:t xml:space="preserve">The process ends when the </w:t>
      </w:r>
      <w:r w:rsidR="0099015C">
        <w:rPr>
          <w:u w:val="double"/>
        </w:rPr>
        <w:t>Institutional</w:t>
      </w:r>
      <w:r w:rsidR="0099015C" w:rsidRPr="0071616D">
        <w:rPr>
          <w:u w:val="double"/>
        </w:rPr>
        <w:t xml:space="preserve"> Official</w:t>
      </w:r>
      <w:r w:rsidR="00F32317">
        <w:rPr>
          <w:u w:val="double"/>
        </w:rPr>
        <w:t xml:space="preserve"> (</w:t>
      </w:r>
      <w:r w:rsidR="00AA1E72">
        <w:rPr>
          <w:u w:val="double"/>
        </w:rPr>
        <w:t>IO</w:t>
      </w:r>
      <w:r w:rsidR="00F32317">
        <w:rPr>
          <w:u w:val="double"/>
        </w:rPr>
        <w:t>)</w:t>
      </w:r>
      <w:r w:rsidR="00AA1E72">
        <w:rPr>
          <w:u w:val="double"/>
        </w:rPr>
        <w:t xml:space="preserve"> </w:t>
      </w:r>
      <w:r>
        <w:t>or designee communicates a decision to the IRB.</w:t>
      </w:r>
    </w:p>
    <w:p w14:paraId="6C3B2C81" w14:textId="77777777" w:rsidR="005D44CD" w:rsidRPr="008576AA" w:rsidRDefault="005D44CD" w:rsidP="00F32317">
      <w:pPr>
        <w:pStyle w:val="SOPLevel1"/>
        <w:spacing w:before="120" w:after="120"/>
      </w:pPr>
      <w:r w:rsidRPr="008576AA">
        <w:t>REVISIONS FROM PREVIOUS VERSION</w:t>
      </w:r>
    </w:p>
    <w:tbl>
      <w:tblPr>
        <w:tblStyle w:val="TableGrid"/>
        <w:tblW w:w="0" w:type="auto"/>
        <w:jc w:val="center"/>
        <w:tblLook w:val="04A0" w:firstRow="1" w:lastRow="0" w:firstColumn="1" w:lastColumn="0" w:noHBand="0" w:noVBand="1"/>
      </w:tblPr>
      <w:tblGrid>
        <w:gridCol w:w="818"/>
        <w:gridCol w:w="855"/>
        <w:gridCol w:w="4438"/>
      </w:tblGrid>
      <w:tr w:rsidR="009B20D5" w:rsidRPr="006F2790" w14:paraId="4BDA1091" w14:textId="77777777" w:rsidTr="0089365F">
        <w:trPr>
          <w:jc w:val="center"/>
        </w:trPr>
        <w:tc>
          <w:tcPr>
            <w:tcW w:w="0" w:type="auto"/>
          </w:tcPr>
          <w:p w14:paraId="468C4454" w14:textId="77777777" w:rsidR="009B20D5" w:rsidRPr="00C85789" w:rsidRDefault="009B20D5" w:rsidP="0089365F">
            <w:pPr>
              <w:jc w:val="center"/>
              <w:rPr>
                <w:rFonts w:ascii="Arial Narrow" w:hAnsi="Arial Narrow" w:cs="Calibri"/>
                <w:b/>
              </w:rPr>
            </w:pPr>
            <w:r w:rsidRPr="00C85789">
              <w:rPr>
                <w:rFonts w:ascii="Arial Narrow" w:hAnsi="Arial Narrow" w:cs="Calibri"/>
                <w:b/>
              </w:rPr>
              <w:t>Version</w:t>
            </w:r>
          </w:p>
        </w:tc>
        <w:tc>
          <w:tcPr>
            <w:tcW w:w="0" w:type="auto"/>
          </w:tcPr>
          <w:p w14:paraId="0E263810" w14:textId="77777777" w:rsidR="009B20D5" w:rsidRPr="00C85789" w:rsidRDefault="009B20D5" w:rsidP="0089365F">
            <w:pPr>
              <w:jc w:val="center"/>
              <w:rPr>
                <w:rFonts w:ascii="Arial Narrow" w:hAnsi="Arial Narrow" w:cs="Calibri"/>
                <w:b/>
              </w:rPr>
            </w:pPr>
            <w:r w:rsidRPr="00C85789">
              <w:rPr>
                <w:rFonts w:ascii="Arial Narrow" w:hAnsi="Arial Narrow" w:cs="Calibri"/>
                <w:b/>
              </w:rPr>
              <w:t>Date</w:t>
            </w:r>
          </w:p>
        </w:tc>
        <w:tc>
          <w:tcPr>
            <w:tcW w:w="0" w:type="auto"/>
          </w:tcPr>
          <w:p w14:paraId="6B4186B7" w14:textId="77777777" w:rsidR="009B20D5" w:rsidRPr="00C85789" w:rsidRDefault="009B20D5" w:rsidP="0089365F">
            <w:pPr>
              <w:jc w:val="center"/>
              <w:rPr>
                <w:rFonts w:ascii="Arial Narrow" w:hAnsi="Arial Narrow" w:cs="Calibri"/>
                <w:b/>
              </w:rPr>
            </w:pPr>
            <w:r w:rsidRPr="00C85789">
              <w:rPr>
                <w:rFonts w:ascii="Arial Narrow" w:hAnsi="Arial Narrow" w:cs="Calibri"/>
                <w:b/>
              </w:rPr>
              <w:t>Revisions</w:t>
            </w:r>
          </w:p>
        </w:tc>
      </w:tr>
      <w:tr w:rsidR="009B20D5" w:rsidRPr="006F2790" w14:paraId="64AEEDC1" w14:textId="77777777" w:rsidTr="003F29EB">
        <w:trPr>
          <w:jc w:val="center"/>
        </w:trPr>
        <w:tc>
          <w:tcPr>
            <w:tcW w:w="0" w:type="auto"/>
            <w:vAlign w:val="center"/>
          </w:tcPr>
          <w:p w14:paraId="07BA6EB5" w14:textId="77777777" w:rsidR="009B20D5" w:rsidRPr="00C85789" w:rsidRDefault="009B20D5" w:rsidP="003F29EB">
            <w:pPr>
              <w:jc w:val="center"/>
              <w:rPr>
                <w:rFonts w:ascii="Arial Narrow" w:hAnsi="Arial Narrow" w:cs="Calibri"/>
              </w:rPr>
            </w:pPr>
            <w:r w:rsidRPr="00C85789">
              <w:rPr>
                <w:rFonts w:ascii="Arial Narrow" w:hAnsi="Arial Narrow" w:cs="Calibri"/>
              </w:rPr>
              <w:t>R00</w:t>
            </w:r>
          </w:p>
        </w:tc>
        <w:tc>
          <w:tcPr>
            <w:tcW w:w="0" w:type="auto"/>
            <w:vAlign w:val="center"/>
          </w:tcPr>
          <w:p w14:paraId="1635DC0A" w14:textId="60E465F6" w:rsidR="009B20D5" w:rsidRPr="00C85789" w:rsidRDefault="009B20D5" w:rsidP="003F29EB">
            <w:pPr>
              <w:jc w:val="center"/>
              <w:rPr>
                <w:rFonts w:ascii="Arial Narrow" w:hAnsi="Arial Narrow" w:cs="Calibri"/>
              </w:rPr>
            </w:pPr>
            <w:r>
              <w:rPr>
                <w:rFonts w:ascii="Arial Narrow" w:hAnsi="Arial Narrow" w:cs="Calibri"/>
              </w:rPr>
              <w:t>12/1/18</w:t>
            </w:r>
          </w:p>
        </w:tc>
        <w:tc>
          <w:tcPr>
            <w:tcW w:w="0" w:type="auto"/>
            <w:vAlign w:val="center"/>
          </w:tcPr>
          <w:p w14:paraId="2B472DA5" w14:textId="77777777" w:rsidR="009B20D5" w:rsidRPr="00C85789" w:rsidRDefault="009B20D5" w:rsidP="003F29EB">
            <w:pPr>
              <w:jc w:val="center"/>
              <w:rPr>
                <w:rFonts w:ascii="Arial Narrow" w:hAnsi="Arial Narrow" w:cs="Calibri"/>
              </w:rPr>
            </w:pPr>
            <w:r w:rsidRPr="00C85789">
              <w:rPr>
                <w:rFonts w:ascii="Arial Narrow" w:hAnsi="Arial Narrow" w:cs="Calibri"/>
              </w:rPr>
              <w:t>Original issue</w:t>
            </w:r>
          </w:p>
        </w:tc>
      </w:tr>
      <w:tr w:rsidR="009B20D5" w:rsidRPr="006F2790" w14:paraId="479305C7" w14:textId="77777777" w:rsidTr="003F29EB">
        <w:trPr>
          <w:jc w:val="center"/>
        </w:trPr>
        <w:tc>
          <w:tcPr>
            <w:tcW w:w="0" w:type="auto"/>
            <w:vAlign w:val="center"/>
          </w:tcPr>
          <w:p w14:paraId="25E3E4A6" w14:textId="0013F4ED" w:rsidR="009B20D5" w:rsidRPr="00C85789" w:rsidRDefault="009B20D5" w:rsidP="003F29EB">
            <w:pPr>
              <w:jc w:val="center"/>
              <w:rPr>
                <w:rFonts w:ascii="Arial Narrow" w:hAnsi="Arial Narrow" w:cs="Calibri"/>
              </w:rPr>
            </w:pPr>
            <w:r>
              <w:rPr>
                <w:rFonts w:ascii="Arial Narrow" w:hAnsi="Arial Narrow" w:cs="Calibri"/>
              </w:rPr>
              <w:t>R01</w:t>
            </w:r>
          </w:p>
        </w:tc>
        <w:tc>
          <w:tcPr>
            <w:tcW w:w="0" w:type="auto"/>
            <w:vAlign w:val="center"/>
          </w:tcPr>
          <w:p w14:paraId="32C77E7C" w14:textId="37A40387" w:rsidR="009B20D5" w:rsidRPr="00C85789" w:rsidRDefault="009B20D5" w:rsidP="003F29EB">
            <w:pPr>
              <w:jc w:val="center"/>
              <w:rPr>
                <w:rFonts w:ascii="Arial Narrow" w:hAnsi="Arial Narrow" w:cs="Calibri"/>
              </w:rPr>
            </w:pPr>
            <w:r>
              <w:rPr>
                <w:rFonts w:ascii="Arial Narrow" w:hAnsi="Arial Narrow" w:cs="Calibri"/>
              </w:rPr>
              <w:t>9/12/22</w:t>
            </w:r>
          </w:p>
        </w:tc>
        <w:tc>
          <w:tcPr>
            <w:tcW w:w="0" w:type="auto"/>
            <w:vAlign w:val="center"/>
          </w:tcPr>
          <w:p w14:paraId="2A4C2E25" w14:textId="437D8C0F" w:rsidR="009B20D5" w:rsidRDefault="009B20D5" w:rsidP="003F29EB">
            <w:pPr>
              <w:jc w:val="center"/>
            </w:pPr>
            <w:r>
              <w:rPr>
                <w:rFonts w:ascii="Arial Narrow" w:hAnsi="Arial Narrow"/>
              </w:rPr>
              <w:t>Add UB logo, revision table remove Organizational Official</w:t>
            </w:r>
          </w:p>
        </w:tc>
      </w:tr>
      <w:tr w:rsidR="00F53456" w:rsidRPr="006F2790" w14:paraId="64D05D8B" w14:textId="77777777" w:rsidTr="003F29EB">
        <w:trPr>
          <w:jc w:val="center"/>
        </w:trPr>
        <w:tc>
          <w:tcPr>
            <w:tcW w:w="0" w:type="auto"/>
            <w:vAlign w:val="center"/>
          </w:tcPr>
          <w:p w14:paraId="45A5A65E" w14:textId="017FABF3" w:rsidR="00F53456" w:rsidRDefault="00F53456" w:rsidP="003F29EB">
            <w:pPr>
              <w:jc w:val="center"/>
              <w:rPr>
                <w:rFonts w:ascii="Arial Narrow" w:hAnsi="Arial Narrow" w:cs="Calibri"/>
              </w:rPr>
            </w:pPr>
            <w:r>
              <w:rPr>
                <w:rFonts w:ascii="Arial Narrow" w:hAnsi="Arial Narrow" w:cs="Calibri"/>
              </w:rPr>
              <w:t>R01</w:t>
            </w:r>
          </w:p>
        </w:tc>
        <w:tc>
          <w:tcPr>
            <w:tcW w:w="0" w:type="auto"/>
            <w:vAlign w:val="center"/>
          </w:tcPr>
          <w:p w14:paraId="7EEC372A" w14:textId="32D1D668" w:rsidR="00F53456" w:rsidRDefault="00F53456" w:rsidP="003F29EB">
            <w:pPr>
              <w:jc w:val="center"/>
              <w:rPr>
                <w:rFonts w:ascii="Arial Narrow" w:hAnsi="Arial Narrow" w:cs="Calibri"/>
              </w:rPr>
            </w:pPr>
            <w:r>
              <w:rPr>
                <w:rFonts w:ascii="Arial Narrow" w:hAnsi="Arial Narrow" w:cs="Calibri"/>
              </w:rPr>
              <w:t>12/1/22</w:t>
            </w:r>
          </w:p>
        </w:tc>
        <w:tc>
          <w:tcPr>
            <w:tcW w:w="0" w:type="auto"/>
            <w:vAlign w:val="center"/>
          </w:tcPr>
          <w:p w14:paraId="470D505A" w14:textId="43432446" w:rsidR="00F53456" w:rsidRDefault="00F53456" w:rsidP="003F29EB">
            <w:pPr>
              <w:jc w:val="center"/>
              <w:rPr>
                <w:rFonts w:ascii="Arial Narrow" w:hAnsi="Arial Narrow"/>
              </w:rPr>
            </w:pPr>
            <w:r>
              <w:rPr>
                <w:rFonts w:ascii="Arial Narrow" w:hAnsi="Arial Narrow"/>
              </w:rPr>
              <w:t>Annual Review, no changes</w:t>
            </w:r>
          </w:p>
        </w:tc>
      </w:tr>
      <w:tr w:rsidR="003F29EB" w:rsidRPr="006F2790" w14:paraId="5BCCFF06" w14:textId="77777777" w:rsidTr="003F29EB">
        <w:trPr>
          <w:jc w:val="center"/>
        </w:trPr>
        <w:tc>
          <w:tcPr>
            <w:tcW w:w="0" w:type="auto"/>
            <w:vAlign w:val="center"/>
          </w:tcPr>
          <w:p w14:paraId="7DE1B669" w14:textId="053F367A" w:rsidR="003F29EB" w:rsidRDefault="003F29EB" w:rsidP="003F29EB">
            <w:pPr>
              <w:jc w:val="center"/>
              <w:rPr>
                <w:rFonts w:ascii="Arial Narrow" w:hAnsi="Arial Narrow" w:cs="Calibri"/>
              </w:rPr>
            </w:pPr>
            <w:r>
              <w:rPr>
                <w:rFonts w:ascii="Arial Narrow" w:hAnsi="Arial Narrow" w:cs="Calibri"/>
              </w:rPr>
              <w:t>R01</w:t>
            </w:r>
          </w:p>
        </w:tc>
        <w:tc>
          <w:tcPr>
            <w:tcW w:w="0" w:type="auto"/>
            <w:vAlign w:val="center"/>
          </w:tcPr>
          <w:p w14:paraId="571FD3E7" w14:textId="7F925FD5" w:rsidR="003F29EB" w:rsidRDefault="003F29EB" w:rsidP="003F29EB">
            <w:pPr>
              <w:jc w:val="center"/>
              <w:rPr>
                <w:rFonts w:ascii="Arial Narrow" w:hAnsi="Arial Narrow" w:cs="Calibri"/>
              </w:rPr>
            </w:pPr>
            <w:r>
              <w:rPr>
                <w:rFonts w:ascii="Arial Narrow" w:hAnsi="Arial Narrow" w:cs="Calibri"/>
              </w:rPr>
              <w:t>1</w:t>
            </w:r>
            <w:r>
              <w:rPr>
                <w:rFonts w:ascii="Arial Narrow" w:hAnsi="Arial Narrow" w:cs="Calibri"/>
              </w:rPr>
              <w:t>1/13/23</w:t>
            </w:r>
          </w:p>
        </w:tc>
        <w:tc>
          <w:tcPr>
            <w:tcW w:w="0" w:type="auto"/>
            <w:vAlign w:val="center"/>
          </w:tcPr>
          <w:p w14:paraId="7B112533" w14:textId="2469FF0C" w:rsidR="003F29EB" w:rsidRDefault="003F29EB" w:rsidP="003F29EB">
            <w:pPr>
              <w:jc w:val="center"/>
              <w:rPr>
                <w:rFonts w:ascii="Arial Narrow" w:hAnsi="Arial Narrow"/>
              </w:rPr>
            </w:pPr>
            <w:r>
              <w:rPr>
                <w:rFonts w:ascii="Arial Narrow" w:hAnsi="Arial Narrow"/>
              </w:rPr>
              <w:t>Annual Review, no changes</w:t>
            </w:r>
          </w:p>
        </w:tc>
        <w:bookmarkStart w:id="1" w:name="_GoBack"/>
        <w:bookmarkEnd w:id="1"/>
      </w:tr>
    </w:tbl>
    <w:p w14:paraId="406F0A26" w14:textId="77777777" w:rsidR="005D44CD" w:rsidRPr="008576AA" w:rsidRDefault="005D44CD" w:rsidP="00F32317">
      <w:pPr>
        <w:pStyle w:val="SOPLevel1"/>
        <w:spacing w:before="120" w:after="120"/>
      </w:pPr>
      <w:r w:rsidRPr="008576AA">
        <w:t>POLICY</w:t>
      </w:r>
    </w:p>
    <w:p w14:paraId="7EE51B6F" w14:textId="77777777" w:rsidR="005D44CD" w:rsidRDefault="005D44CD" w:rsidP="00BA6AAD">
      <w:pPr>
        <w:pStyle w:val="SOPLevel2"/>
      </w:pPr>
      <w:r>
        <w:t xml:space="preserve">When </w:t>
      </w:r>
      <w:r w:rsidRPr="00E63956">
        <w:t>research</w:t>
      </w:r>
      <w:r>
        <w:t xml:space="preserve"> is not otherwise approvable, but because the </w:t>
      </w:r>
      <w:r w:rsidRPr="00E63956">
        <w:t>research</w:t>
      </w:r>
      <w:r>
        <w:t xml:space="preserve"> is not subject to regulatory approval no government agency will conduct a review of this </w:t>
      </w:r>
      <w:r w:rsidRPr="00E63956">
        <w:t>research</w:t>
      </w:r>
      <w:r>
        <w:t xml:space="preserve"> to determine whether it can be approved, this organization will conduct its own review that parallels the regulatory process.</w:t>
      </w:r>
    </w:p>
    <w:p w14:paraId="365A640A" w14:textId="77777777" w:rsidR="005D44CD" w:rsidRDefault="005D44CD" w:rsidP="00BA6AAD">
      <w:pPr>
        <w:pStyle w:val="SOPLevel2"/>
      </w:pPr>
      <w:r>
        <w:t>The criteria used to make a determination are:</w:t>
      </w:r>
    </w:p>
    <w:p w14:paraId="44BCB112" w14:textId="631259BE" w:rsidR="005D44CD" w:rsidRDefault="0099015C" w:rsidP="00A54213">
      <w:pPr>
        <w:pStyle w:val="SOPLevel3"/>
      </w:pPr>
      <w:r>
        <w:t>T</w:t>
      </w:r>
      <w:r w:rsidR="005D44CD">
        <w:t xml:space="preserve">hat the research in fact satisfies the conditions of IRB approvable research in </w:t>
      </w:r>
      <w:bookmarkStart w:id="2" w:name="_Hlk523422513"/>
      <w:bookmarkStart w:id="3" w:name="_Hlk523422068"/>
      <w:r w:rsidR="005D44CD">
        <w:t>“CHECKLIST: Non-Viable Neonates (HRP-413),” “CHECKLIST: Neonates of Uncertain Viability (HRP-414),” or “CHECKLIST: Children (HRP-416),” or “CHECKLIST: Pregnant Women (HRP-412)</w:t>
      </w:r>
      <w:bookmarkEnd w:id="2"/>
    </w:p>
    <w:bookmarkEnd w:id="3"/>
    <w:p w14:paraId="15E1C66D" w14:textId="77777777" w:rsidR="005D44CD" w:rsidRDefault="005D44CD" w:rsidP="00A54213">
      <w:pPr>
        <w:pStyle w:val="SOPLevel3"/>
      </w:pPr>
      <w:r>
        <w:t>All of the following criteria are met:</w:t>
      </w:r>
    </w:p>
    <w:p w14:paraId="1185F0A2" w14:textId="77777777" w:rsidR="005D44CD" w:rsidRDefault="005D44CD" w:rsidP="00A54213">
      <w:pPr>
        <w:pStyle w:val="SOPLevel4"/>
      </w:pPr>
      <w:bookmarkStart w:id="4" w:name="_Hlk523422547"/>
      <w:r>
        <w:t xml:space="preserve">The research presents a reasonable opportunity to further the understanding, prevention, or alleviation of a serious problem affecting the health or welfare of children or </w:t>
      </w:r>
      <w:bookmarkStart w:id="5" w:name="_Hlk523422143"/>
      <w:r w:rsidRPr="00A54213">
        <w:t>pregnant women, fetuses or neonates</w:t>
      </w:r>
      <w:bookmarkEnd w:id="5"/>
      <w:r>
        <w:t>.</w:t>
      </w:r>
    </w:p>
    <w:p w14:paraId="5A6D30B2" w14:textId="77777777" w:rsidR="005D44CD" w:rsidRDefault="005D44CD" w:rsidP="00A54213">
      <w:pPr>
        <w:pStyle w:val="SOPLevel4"/>
      </w:pPr>
      <w:r>
        <w:t>The research will be conducted in accordance with sound ethical principles;</w:t>
      </w:r>
    </w:p>
    <w:p w14:paraId="29F1FF32" w14:textId="77777777" w:rsidR="005D44CD" w:rsidRDefault="005D44CD" w:rsidP="00A54213">
      <w:pPr>
        <w:pStyle w:val="SOPLevel4"/>
      </w:pPr>
      <w:r>
        <w:t xml:space="preserve">Adequate provisions are made for soliciting the assent of children, the permission of their parents or guardians, and the consent of subjects as required by “WORKSHEET: Criteria for Approval and Other Considerations (HRP-314),” </w:t>
      </w:r>
      <w:bookmarkStart w:id="6" w:name="_Hlk523422194"/>
      <w:r>
        <w:t xml:space="preserve">“CHECKLIST: Non-Viable Neonates (HRP-413),” “CHECKLIST: Neonates of Uncertain Viability (HRP-414),” </w:t>
      </w:r>
      <w:bookmarkEnd w:id="6"/>
      <w:r>
        <w:t>or “CHECKLIST: Children (HRP-416).”</w:t>
      </w:r>
    </w:p>
    <w:bookmarkEnd w:id="4"/>
    <w:p w14:paraId="43D7F589" w14:textId="77777777" w:rsidR="005D44CD" w:rsidRDefault="005D44CD" w:rsidP="00F32317">
      <w:pPr>
        <w:pStyle w:val="SOPLevel1"/>
        <w:spacing w:before="120" w:after="120"/>
      </w:pPr>
      <w:r>
        <w:t>RESPONSIBILITIES</w:t>
      </w:r>
    </w:p>
    <w:p w14:paraId="4EF3507A" w14:textId="4C618DFD" w:rsidR="005D44CD" w:rsidRDefault="005D44CD" w:rsidP="00202756">
      <w:pPr>
        <w:pStyle w:val="SOPLevel2"/>
      </w:pPr>
      <w:r>
        <w:t xml:space="preserve">The </w:t>
      </w:r>
      <w:r w:rsidR="00F32317">
        <w:rPr>
          <w:u w:val="double"/>
        </w:rPr>
        <w:t>IO</w:t>
      </w:r>
      <w:r w:rsidRPr="0071616D">
        <w:t xml:space="preserve"> </w:t>
      </w:r>
      <w:r>
        <w:t>or designee carries out these procedures.</w:t>
      </w:r>
    </w:p>
    <w:p w14:paraId="67632BA3" w14:textId="77777777" w:rsidR="005D44CD" w:rsidRPr="008576AA" w:rsidRDefault="005D44CD" w:rsidP="00F32317">
      <w:pPr>
        <w:pStyle w:val="SOPLevel1"/>
        <w:spacing w:before="120" w:after="120"/>
      </w:pPr>
      <w:r w:rsidRPr="008576AA">
        <w:t>PROCEDURE</w:t>
      </w:r>
    </w:p>
    <w:p w14:paraId="628E0BD1" w14:textId="77777777" w:rsidR="005D44CD" w:rsidRDefault="005D44CD" w:rsidP="00B73A22">
      <w:pPr>
        <w:pStyle w:val="SOPLevel2"/>
      </w:pPr>
      <w:r>
        <w:t xml:space="preserve">Identify a panel of five or more experts in pertinent disciplines (e.g., science, medicine, </w:t>
      </w:r>
      <w:proofErr w:type="gramStart"/>
      <w:r>
        <w:t>education</w:t>
      </w:r>
      <w:proofErr w:type="gramEnd"/>
      <w:r>
        <w:t>, ethics, and law) and relevant subject advocates to review the protocol.</w:t>
      </w:r>
    </w:p>
    <w:p w14:paraId="7E683793" w14:textId="77777777" w:rsidR="005D44CD" w:rsidRDefault="005D44CD" w:rsidP="00002DB5">
      <w:pPr>
        <w:pStyle w:val="SOPLevel2"/>
      </w:pPr>
      <w:r>
        <w:t xml:space="preserve">Screen for </w:t>
      </w:r>
      <w:r w:rsidRPr="004B5810">
        <w:rPr>
          <w:u w:val="double"/>
        </w:rPr>
        <w:t>Conflicting Interests</w:t>
      </w:r>
      <w:r>
        <w:t xml:space="preserve"> of panel members and do not use panel members with a </w:t>
      </w:r>
      <w:r w:rsidRPr="0061608F">
        <w:rPr>
          <w:u w:val="double"/>
        </w:rPr>
        <w:t>Conflicting Interest</w:t>
      </w:r>
      <w:r>
        <w:t>.</w:t>
      </w:r>
    </w:p>
    <w:p w14:paraId="7F28FCC2" w14:textId="77777777" w:rsidR="005D44CD" w:rsidRDefault="005D44CD" w:rsidP="00B73A22">
      <w:pPr>
        <w:pStyle w:val="SOPLevel2"/>
      </w:pPr>
      <w:r>
        <w:lastRenderedPageBreak/>
        <w:t>Inform potential experts that they will be asked to provide individual written recommendations and that their reports, as well as their identities, will be publicly available during the public review and comment period.</w:t>
      </w:r>
    </w:p>
    <w:p w14:paraId="62759024" w14:textId="77777777" w:rsidR="005D44CD" w:rsidRDefault="005D44CD" w:rsidP="00B73A22">
      <w:pPr>
        <w:pStyle w:val="SOPLevel2"/>
      </w:pPr>
      <w:r>
        <w:t>Publish in a form accessible to the public:</w:t>
      </w:r>
    </w:p>
    <w:p w14:paraId="5327A40C" w14:textId="77777777" w:rsidR="005D44CD" w:rsidRDefault="005D44CD" w:rsidP="00D579BB">
      <w:pPr>
        <w:pStyle w:val="SOPLevel3"/>
      </w:pPr>
      <w:r>
        <w:t>A request for written comments, including an Internet link to the protocol, relevant sections of grant applications, parental permission and assent documents, and relevant excerpts from the IRB minutes and correspondence.</w:t>
      </w:r>
    </w:p>
    <w:p w14:paraId="32CD3A93" w14:textId="77777777" w:rsidR="005D44CD" w:rsidRDefault="005D44CD" w:rsidP="00D579BB">
      <w:pPr>
        <w:pStyle w:val="SOPLevel3"/>
      </w:pPr>
      <w:r>
        <w:t>The date and location of the expert panel meeting (to be held a minimum of 30 days after the notice is posted.)</w:t>
      </w:r>
    </w:p>
    <w:p w14:paraId="064CE78E" w14:textId="77777777" w:rsidR="005D44CD" w:rsidRDefault="005D44CD" w:rsidP="00D579BB">
      <w:pPr>
        <w:pStyle w:val="SOPLevel3"/>
      </w:pPr>
      <w:r>
        <w:t>Indicate that the panel meeting will be open to the public and that the public will be given an opportunity to comment at the panel meeting.</w:t>
      </w:r>
    </w:p>
    <w:p w14:paraId="4F5BF75F" w14:textId="77777777" w:rsidR="005D44CD" w:rsidRDefault="005D44CD" w:rsidP="00D579BB">
      <w:pPr>
        <w:pStyle w:val="SOPLevel3"/>
      </w:pPr>
      <w:r>
        <w:t>Note that written comments on posted materials must be submitted at least 7 days before the day of the panel meeting to be considered by the panelists (which will allow the public 21 days to comment on posted materials);</w:t>
      </w:r>
    </w:p>
    <w:p w14:paraId="162DC79D" w14:textId="77777777" w:rsidR="005D44CD" w:rsidRDefault="005D44CD" w:rsidP="00D579BB">
      <w:pPr>
        <w:pStyle w:val="SOPLevel3"/>
      </w:pPr>
      <w:r>
        <w:t>Indication that the panelists’ reports/recommendations (see below) will be posted 14 days after the panel meets.</w:t>
      </w:r>
    </w:p>
    <w:p w14:paraId="754F8C2D" w14:textId="77777777" w:rsidR="005D44CD" w:rsidRDefault="005D44CD" w:rsidP="00D579BB">
      <w:pPr>
        <w:pStyle w:val="SOPLevel3"/>
      </w:pPr>
      <w:r>
        <w:t>Invite comments for up to 30 days after the meeting of the convened panel for review and consideration by the panel.</w:t>
      </w:r>
    </w:p>
    <w:p w14:paraId="07C198C1" w14:textId="77777777" w:rsidR="005D44CD" w:rsidRDefault="005D44CD" w:rsidP="00B73A22">
      <w:pPr>
        <w:pStyle w:val="SOPLevel2"/>
      </w:pPr>
      <w:r>
        <w:t>Open the meeting to the public.</w:t>
      </w:r>
    </w:p>
    <w:p w14:paraId="290DE813" w14:textId="77777777" w:rsidR="005D44CD" w:rsidRDefault="005D44CD" w:rsidP="00B73A22">
      <w:pPr>
        <w:pStyle w:val="SOPLevel2"/>
      </w:pPr>
      <w:r>
        <w:t>After the convened panel discussion occurs and public comments are received, have each panel member write an independent recommendation as to whether the protocol should proceed, proceed with modifications, or not proceed.</w:t>
      </w:r>
    </w:p>
    <w:p w14:paraId="158CF114" w14:textId="77777777" w:rsidR="005D44CD" w:rsidRDefault="005D44CD" w:rsidP="00B73A22">
      <w:pPr>
        <w:pStyle w:val="SOPLevel2"/>
      </w:pPr>
      <w:r>
        <w:t>Post panel reports on the organization’s website for informational purposes for 30 days after the panel meeting.</w:t>
      </w:r>
    </w:p>
    <w:p w14:paraId="5B094D61" w14:textId="77777777" w:rsidR="005D44CD" w:rsidRDefault="005D44CD" w:rsidP="00903F88">
      <w:pPr>
        <w:pStyle w:val="SOPLevel2"/>
      </w:pPr>
      <w:r>
        <w:t>Review the panel deliberations, reports, public comments, and make one of the following recommendations within 90 days of the convened panel meeting:</w:t>
      </w:r>
    </w:p>
    <w:p w14:paraId="0EEA5629" w14:textId="77777777" w:rsidR="005D44CD" w:rsidRDefault="005D44CD" w:rsidP="00903F88">
      <w:pPr>
        <w:pStyle w:val="SOPLevel3"/>
      </w:pPr>
      <w:r>
        <w:t xml:space="preserve">The organization approves support of the </w:t>
      </w:r>
      <w:r w:rsidRPr="00E63956">
        <w:t>research</w:t>
      </w:r>
      <w:r>
        <w:t xml:space="preserve"> as submitted;</w:t>
      </w:r>
    </w:p>
    <w:p w14:paraId="4EF82727" w14:textId="77777777" w:rsidR="005D44CD" w:rsidRDefault="005D44CD" w:rsidP="00903F88">
      <w:pPr>
        <w:pStyle w:val="SOPLevel3"/>
      </w:pPr>
      <w:r>
        <w:t xml:space="preserve">The organization approves support of the </w:t>
      </w:r>
      <w:r w:rsidRPr="00E63956">
        <w:t>research</w:t>
      </w:r>
      <w:r>
        <w:t>, but with required and/or recommended modifications; or</w:t>
      </w:r>
    </w:p>
    <w:p w14:paraId="2102EF37" w14:textId="77777777" w:rsidR="005D44CD" w:rsidRDefault="005D44CD" w:rsidP="00903F88">
      <w:pPr>
        <w:pStyle w:val="SOPLevel3"/>
      </w:pPr>
      <w:r>
        <w:t xml:space="preserve">The organization disapproves support of the </w:t>
      </w:r>
      <w:r w:rsidRPr="00E63956">
        <w:t>research</w:t>
      </w:r>
      <w:r>
        <w:t>.</w:t>
      </w:r>
    </w:p>
    <w:p w14:paraId="089FE7FA" w14:textId="77777777" w:rsidR="005D44CD" w:rsidRDefault="005D44CD" w:rsidP="00903F88">
      <w:pPr>
        <w:pStyle w:val="SOPLevel2"/>
      </w:pPr>
      <w:r>
        <w:t>Inform the IRB and the investigator.</w:t>
      </w:r>
    </w:p>
    <w:p w14:paraId="799310DF" w14:textId="77777777" w:rsidR="005D44CD" w:rsidRDefault="005D44CD" w:rsidP="00903F88">
      <w:pPr>
        <w:pStyle w:val="SOPLevel2"/>
      </w:pPr>
      <w:r>
        <w:t>Post the decision on the organization’s Website.</w:t>
      </w:r>
    </w:p>
    <w:p w14:paraId="19FB3DEA" w14:textId="77777777" w:rsidR="005D44CD" w:rsidRPr="008576AA" w:rsidRDefault="005D44CD" w:rsidP="00F32317">
      <w:pPr>
        <w:pStyle w:val="SOPLevel1"/>
        <w:spacing w:before="120" w:after="120"/>
      </w:pPr>
      <w:r w:rsidRPr="008576AA">
        <w:t>MATERIALS</w:t>
      </w:r>
    </w:p>
    <w:p w14:paraId="5682FA12" w14:textId="77777777" w:rsidR="005D44CD" w:rsidRDefault="005D44CD" w:rsidP="00A54213">
      <w:pPr>
        <w:pStyle w:val="SOPLevel2"/>
      </w:pPr>
      <w:bookmarkStart w:id="7" w:name="_Hlk523422584"/>
      <w:r>
        <w:t>CHECKLIST: Pregnant Women (HRP-412)</w:t>
      </w:r>
    </w:p>
    <w:p w14:paraId="79C069FD" w14:textId="77777777" w:rsidR="005D44CD" w:rsidRPr="00A54213" w:rsidRDefault="005D44CD" w:rsidP="00A54213">
      <w:pPr>
        <w:pStyle w:val="SOPLevel2"/>
      </w:pPr>
      <w:r w:rsidRPr="00A54213">
        <w:t>CHECKLIST</w:t>
      </w:r>
      <w:r>
        <w:t>: Non-Viable Neonates (HRP-413)</w:t>
      </w:r>
    </w:p>
    <w:p w14:paraId="65AF0CDD" w14:textId="77777777" w:rsidR="005D44CD" w:rsidRPr="00A54213" w:rsidRDefault="005D44CD" w:rsidP="00A54213">
      <w:pPr>
        <w:pStyle w:val="SOPLevel2"/>
      </w:pPr>
      <w:r w:rsidRPr="00A54213">
        <w:t>CHECKLIST</w:t>
      </w:r>
      <w:r>
        <w:t xml:space="preserve">: </w:t>
      </w:r>
      <w:r w:rsidRPr="00A54213">
        <w:t>Neo</w:t>
      </w:r>
      <w:r>
        <w:t>nates of Uncertain Viability (</w:t>
      </w:r>
      <w:r w:rsidRPr="00A54213">
        <w:t>HRP-414</w:t>
      </w:r>
      <w:r>
        <w:t>)</w:t>
      </w:r>
    </w:p>
    <w:p w14:paraId="078D612A" w14:textId="77777777" w:rsidR="005D44CD" w:rsidRPr="00A54213" w:rsidRDefault="005D44CD" w:rsidP="00A54213">
      <w:pPr>
        <w:pStyle w:val="SOPLevel2"/>
        <w:rPr>
          <w:b/>
        </w:rPr>
      </w:pPr>
      <w:r w:rsidRPr="00A54213">
        <w:t>CHECKLIST</w:t>
      </w:r>
      <w:r>
        <w:t>: Children (</w:t>
      </w:r>
      <w:r w:rsidRPr="00A54213">
        <w:t>HRP-416</w:t>
      </w:r>
      <w:r>
        <w:t>)</w:t>
      </w:r>
    </w:p>
    <w:p w14:paraId="55D54ACB" w14:textId="77777777" w:rsidR="005D44CD" w:rsidRPr="00A54213" w:rsidRDefault="005D44CD" w:rsidP="00A54213">
      <w:pPr>
        <w:pStyle w:val="SOPLevel2"/>
        <w:rPr>
          <w:b/>
        </w:rPr>
      </w:pPr>
      <w:r>
        <w:t>WORKSHEET: Criteria for Approval and Other Considerations (HRP-314)</w:t>
      </w:r>
    </w:p>
    <w:bookmarkEnd w:id="7"/>
    <w:p w14:paraId="72A332F9" w14:textId="77777777" w:rsidR="005D44CD" w:rsidRPr="008576AA" w:rsidRDefault="005D44CD" w:rsidP="00F32317">
      <w:pPr>
        <w:pStyle w:val="SOPLevel1"/>
        <w:spacing w:before="120" w:after="120"/>
      </w:pPr>
      <w:r w:rsidRPr="008576AA">
        <w:t>REFERENCES</w:t>
      </w:r>
    </w:p>
    <w:p w14:paraId="79E76381" w14:textId="77777777" w:rsidR="005D44CD" w:rsidRDefault="005D44CD" w:rsidP="000C303B">
      <w:pPr>
        <w:pStyle w:val="SOPLevel2"/>
      </w:pPr>
      <w:r>
        <w:t>45 CFR §46.207, 45 CFR §46.407</w:t>
      </w:r>
    </w:p>
    <w:p w14:paraId="3CE13F2E" w14:textId="77777777" w:rsidR="005D44CD" w:rsidRPr="00B171C8" w:rsidRDefault="005D44CD" w:rsidP="00B171C8">
      <w:pPr>
        <w:pStyle w:val="SOPLevel2"/>
      </w:pPr>
      <w:r>
        <w:t>21 CFR §50.24(e), 21 CFR §50.54(b), 21 CFR §812.66</w:t>
      </w:r>
    </w:p>
    <w:p w14:paraId="2841902B" w14:textId="77777777" w:rsidR="006F158C" w:rsidRDefault="006F158C"/>
    <w:sectPr w:rsidR="006F158C" w:rsidSect="00F32317">
      <w:headerReference w:type="default" r:id="rId10"/>
      <w:footerReference w:type="default" r:id="rId11"/>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FB047" w14:textId="77777777" w:rsidR="00131560" w:rsidRDefault="00131560">
      <w:pPr>
        <w:spacing w:after="0" w:line="240" w:lineRule="auto"/>
      </w:pPr>
      <w:r>
        <w:separator/>
      </w:r>
    </w:p>
  </w:endnote>
  <w:endnote w:type="continuationSeparator" w:id="0">
    <w:p w14:paraId="6C9D29A6" w14:textId="77777777" w:rsidR="00131560" w:rsidRDefault="00131560">
      <w:pPr>
        <w:spacing w:after="0" w:line="240" w:lineRule="auto"/>
      </w:pPr>
      <w:r>
        <w:continuationSeparator/>
      </w:r>
    </w:p>
  </w:endnote>
  <w:endnote w:type="continuationNotice" w:id="1">
    <w:p w14:paraId="7A8DF7D6" w14:textId="77777777" w:rsidR="00131560" w:rsidRDefault="00131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99A6A" w14:textId="77777777" w:rsidR="006F2F05" w:rsidRPr="0068705C" w:rsidRDefault="006F2F05" w:rsidP="006F2F05">
    <w:pPr>
      <w:pStyle w:val="Footer"/>
    </w:pPr>
  </w:p>
  <w:p w14:paraId="1554221F" w14:textId="11EF9B65" w:rsidR="00A70ED5" w:rsidRPr="006F2F05" w:rsidRDefault="003F29EB" w:rsidP="006F2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5F273" w14:textId="77777777" w:rsidR="00131560" w:rsidRDefault="00131560">
      <w:pPr>
        <w:spacing w:after="0" w:line="240" w:lineRule="auto"/>
      </w:pPr>
      <w:r>
        <w:separator/>
      </w:r>
    </w:p>
  </w:footnote>
  <w:footnote w:type="continuationSeparator" w:id="0">
    <w:p w14:paraId="057B6458" w14:textId="77777777" w:rsidR="00131560" w:rsidRDefault="00131560">
      <w:pPr>
        <w:spacing w:after="0" w:line="240" w:lineRule="auto"/>
      </w:pPr>
      <w:r>
        <w:continuationSeparator/>
      </w:r>
    </w:p>
  </w:footnote>
  <w:footnote w:type="continuationNotice" w:id="1">
    <w:p w14:paraId="508D83D3" w14:textId="77777777" w:rsidR="00131560" w:rsidRDefault="001315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031" w:type="pct"/>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53"/>
      <w:gridCol w:w="1567"/>
      <w:gridCol w:w="1080"/>
      <w:gridCol w:w="990"/>
      <w:gridCol w:w="1152"/>
    </w:tblGrid>
    <w:tr w:rsidR="006F2F05" w:rsidRPr="00EB1190" w14:paraId="47E03076" w14:textId="77777777" w:rsidTr="00CF05F1">
      <w:trPr>
        <w:cantSplit/>
        <w:trHeight w:val="260"/>
        <w:jc w:val="right"/>
      </w:trPr>
      <w:tc>
        <w:tcPr>
          <w:tcW w:w="2753" w:type="dxa"/>
          <w:vMerge w:val="restart"/>
          <w:tcBorders>
            <w:top w:val="nil"/>
            <w:left w:val="nil"/>
            <w:bottom w:val="nil"/>
            <w:right w:val="single" w:sz="4" w:space="0" w:color="auto"/>
          </w:tcBorders>
          <w:vAlign w:val="center"/>
        </w:tcPr>
        <w:p w14:paraId="13B4077F" w14:textId="54A72B60" w:rsidR="006F2F05" w:rsidRDefault="006F2F05" w:rsidP="006F2F05">
          <w:bookmarkStart w:id="8" w:name="_Hlk532592326"/>
          <w:bookmarkStart w:id="9" w:name="_Hlk532591909"/>
        </w:p>
      </w:tc>
      <w:tc>
        <w:tcPr>
          <w:tcW w:w="4789" w:type="dxa"/>
          <w:gridSpan w:val="4"/>
          <w:tcBorders>
            <w:top w:val="single" w:sz="4" w:space="0" w:color="auto"/>
            <w:left w:val="single" w:sz="4" w:space="0" w:color="auto"/>
            <w:bottom w:val="single" w:sz="4" w:space="0" w:color="auto"/>
            <w:right w:val="single" w:sz="4" w:space="0" w:color="auto"/>
          </w:tcBorders>
          <w:vAlign w:val="center"/>
        </w:tcPr>
        <w:p w14:paraId="7C90537F" w14:textId="396B4EF2" w:rsidR="006F2F05" w:rsidRPr="006F2F05" w:rsidRDefault="006F2F05" w:rsidP="00CF05F1">
          <w:pPr>
            <w:pStyle w:val="SOPName"/>
            <w:spacing w:before="120" w:after="120"/>
            <w:rPr>
              <w:rStyle w:val="SOPLeader"/>
              <w:rFonts w:ascii="Arial" w:hAnsi="Arial"/>
            </w:rPr>
          </w:pPr>
          <w:r w:rsidRPr="006F2F05">
            <w:rPr>
              <w:rStyle w:val="SOPLeader"/>
              <w:rFonts w:ascii="Arial" w:hAnsi="Arial" w:cs="Arial"/>
            </w:rPr>
            <w:t>SOP: Not Otherwise Approvable Research</w:t>
          </w:r>
        </w:p>
      </w:tc>
    </w:tr>
    <w:bookmarkEnd w:id="8"/>
    <w:tr w:rsidR="00CF05F1" w:rsidRPr="00EB1190" w14:paraId="71C6396F" w14:textId="77777777" w:rsidTr="00CF05F1">
      <w:trPr>
        <w:cantSplit/>
        <w:trHeight w:val="288"/>
        <w:jc w:val="right"/>
      </w:trPr>
      <w:tc>
        <w:tcPr>
          <w:tcW w:w="2753" w:type="dxa"/>
          <w:vMerge/>
          <w:tcBorders>
            <w:top w:val="nil"/>
            <w:left w:val="nil"/>
            <w:bottom w:val="nil"/>
            <w:right w:val="single" w:sz="4" w:space="0" w:color="auto"/>
          </w:tcBorders>
        </w:tcPr>
        <w:p w14:paraId="7EB00C7C" w14:textId="77777777" w:rsidR="00CF05F1" w:rsidRDefault="00CF05F1" w:rsidP="006F2F05"/>
      </w:tc>
      <w:tc>
        <w:tcPr>
          <w:tcW w:w="156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2DBE749" w14:textId="77777777" w:rsidR="00CF05F1" w:rsidRPr="00EB1190" w:rsidRDefault="00CF05F1" w:rsidP="006F2F05">
          <w:pPr>
            <w:pStyle w:val="SOPTableHeader"/>
            <w:rPr>
              <w:sz w:val="18"/>
              <w:szCs w:val="18"/>
            </w:rPr>
          </w:pPr>
          <w:r w:rsidRPr="00EB1190">
            <w:rPr>
              <w:sz w:val="18"/>
              <w:szCs w:val="18"/>
            </w:rPr>
            <w:t>NUMBER</w:t>
          </w:r>
        </w:p>
      </w:tc>
      <w:tc>
        <w:tcPr>
          <w:tcW w:w="10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944A747" w14:textId="77777777" w:rsidR="00CF05F1" w:rsidRPr="00EB1190" w:rsidRDefault="00CF05F1" w:rsidP="006F2F05">
          <w:pPr>
            <w:pStyle w:val="SOPTableHeader"/>
            <w:rPr>
              <w:sz w:val="18"/>
              <w:szCs w:val="18"/>
            </w:rPr>
          </w:pPr>
          <w:r w:rsidRPr="00EB1190">
            <w:rPr>
              <w:sz w:val="18"/>
              <w:szCs w:val="18"/>
            </w:rPr>
            <w:t>DATE</w:t>
          </w:r>
        </w:p>
      </w:tc>
      <w:tc>
        <w:tcPr>
          <w:tcW w:w="99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9D1F469" w14:textId="68C2DE2C" w:rsidR="00CF05F1" w:rsidRPr="00EB1190" w:rsidRDefault="003F29EB" w:rsidP="006F2F05">
          <w:pPr>
            <w:pStyle w:val="SOPTableHeader"/>
            <w:rPr>
              <w:sz w:val="18"/>
              <w:szCs w:val="18"/>
            </w:rPr>
          </w:pPr>
          <w:r>
            <w:rPr>
              <w:sz w:val="18"/>
              <w:szCs w:val="18"/>
            </w:rPr>
            <w:t>AUTHOR</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0FDC048" w14:textId="190D7B9B" w:rsidR="00CF05F1" w:rsidRPr="00EB1190" w:rsidRDefault="003F29EB" w:rsidP="006F2F05">
          <w:pPr>
            <w:pStyle w:val="SOPTableHeader"/>
            <w:rPr>
              <w:sz w:val="18"/>
              <w:szCs w:val="18"/>
            </w:rPr>
          </w:pPr>
          <w:r>
            <w:rPr>
              <w:sz w:val="18"/>
              <w:szCs w:val="18"/>
            </w:rPr>
            <w:t>PAGE</w:t>
          </w:r>
        </w:p>
      </w:tc>
    </w:tr>
    <w:tr w:rsidR="00CF05F1" w:rsidRPr="00EB1190" w14:paraId="4496EBE4" w14:textId="77777777" w:rsidTr="00CF05F1">
      <w:trPr>
        <w:cantSplit/>
        <w:trHeight w:val="288"/>
        <w:jc w:val="right"/>
      </w:trPr>
      <w:tc>
        <w:tcPr>
          <w:tcW w:w="2753" w:type="dxa"/>
          <w:vMerge/>
          <w:tcBorders>
            <w:top w:val="nil"/>
            <w:left w:val="nil"/>
            <w:bottom w:val="nil"/>
            <w:right w:val="single" w:sz="4" w:space="0" w:color="auto"/>
          </w:tcBorders>
        </w:tcPr>
        <w:p w14:paraId="5C9648C4" w14:textId="77777777" w:rsidR="00CF05F1" w:rsidRDefault="00CF05F1" w:rsidP="006F2F05"/>
      </w:tc>
      <w:tc>
        <w:tcPr>
          <w:tcW w:w="156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C726158" w14:textId="0111994A" w:rsidR="00CF05F1" w:rsidRPr="0057043C" w:rsidRDefault="00CF05F1" w:rsidP="006F2F05">
          <w:pPr>
            <w:pStyle w:val="SOPTableEntry"/>
          </w:pPr>
          <w:r w:rsidRPr="00215F07">
            <w:t>HRP-0</w:t>
          </w:r>
          <w:r>
            <w:t>44- R01</w:t>
          </w:r>
        </w:p>
      </w:tc>
      <w:tc>
        <w:tcPr>
          <w:tcW w:w="108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B0D3427" w14:textId="77777777" w:rsidR="00CF05F1" w:rsidRPr="0057043C" w:rsidRDefault="00CF05F1" w:rsidP="006F2F05">
          <w:pPr>
            <w:pStyle w:val="SOPTableEntry"/>
          </w:pPr>
          <w:r>
            <w:t>12/01/2018</w:t>
          </w:r>
        </w:p>
      </w:tc>
      <w:tc>
        <w:tcPr>
          <w:tcW w:w="990"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64968512" w14:textId="558DEE7D" w:rsidR="00CF05F1" w:rsidRPr="0057043C" w:rsidRDefault="003F29EB" w:rsidP="006F2F05">
          <w:pPr>
            <w:pStyle w:val="SOPTableEntry"/>
          </w:pPr>
          <w:r>
            <w:t>R. Karalus</w:t>
          </w:r>
        </w:p>
      </w:tc>
      <w:tc>
        <w:tcPr>
          <w:tcW w:w="1152"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8245328" w14:textId="0326161F" w:rsidR="00CF05F1" w:rsidRPr="0057043C" w:rsidRDefault="003F29EB" w:rsidP="006F2F05">
          <w:pPr>
            <w:pStyle w:val="SOPTableEntry"/>
          </w:pPr>
          <w:r>
            <w:t>1-2</w:t>
          </w:r>
        </w:p>
      </w:tc>
    </w:tr>
  </w:tbl>
  <w:bookmarkEnd w:id="9"/>
  <w:p w14:paraId="400A8058" w14:textId="2C37F591" w:rsidR="00BB29A5" w:rsidRPr="007A2BC4" w:rsidRDefault="00CF05F1" w:rsidP="006F2F05">
    <w:pPr>
      <w:spacing w:after="0" w:line="240" w:lineRule="auto"/>
      <w:rPr>
        <w:sz w:val="2"/>
        <w:szCs w:val="2"/>
      </w:rPr>
    </w:pPr>
    <w:r>
      <w:rPr>
        <w:noProof/>
      </w:rPr>
      <w:drawing>
        <wp:anchor distT="0" distB="0" distL="114300" distR="114300" simplePos="0" relativeHeight="251659264" behindDoc="0" locked="0" layoutInCell="1" allowOverlap="1" wp14:anchorId="0DCFDEB7" wp14:editId="2A5C981D">
          <wp:simplePos x="0" y="0"/>
          <wp:positionH relativeFrom="margin">
            <wp:align>left</wp:align>
          </wp:positionH>
          <wp:positionV relativeFrom="paragraph">
            <wp:posOffset>-722630</wp:posOffset>
          </wp:positionV>
          <wp:extent cx="2809875" cy="542925"/>
          <wp:effectExtent l="0" t="0" r="9525" b="9525"/>
          <wp:wrapNone/>
          <wp:docPr id="3" name="Picture 3" descr="cid:image001.png@01D59FB4.B78FC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59FB4.B78FC5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80987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CD"/>
    <w:rsid w:val="00010A47"/>
    <w:rsid w:val="00080A3C"/>
    <w:rsid w:val="000C0B82"/>
    <w:rsid w:val="000C5981"/>
    <w:rsid w:val="000D772A"/>
    <w:rsid w:val="00131560"/>
    <w:rsid w:val="002928F2"/>
    <w:rsid w:val="00344B48"/>
    <w:rsid w:val="003D065E"/>
    <w:rsid w:val="003F29EB"/>
    <w:rsid w:val="004077D3"/>
    <w:rsid w:val="0058100B"/>
    <w:rsid w:val="005D44CD"/>
    <w:rsid w:val="00612A7A"/>
    <w:rsid w:val="006464CD"/>
    <w:rsid w:val="006A1917"/>
    <w:rsid w:val="006F158C"/>
    <w:rsid w:val="006F2F05"/>
    <w:rsid w:val="007F4DD3"/>
    <w:rsid w:val="008334A5"/>
    <w:rsid w:val="008B42EE"/>
    <w:rsid w:val="00900BC4"/>
    <w:rsid w:val="0099015C"/>
    <w:rsid w:val="009B20D5"/>
    <w:rsid w:val="00A14C3C"/>
    <w:rsid w:val="00A614BD"/>
    <w:rsid w:val="00AA1E72"/>
    <w:rsid w:val="00AA3652"/>
    <w:rsid w:val="00AC1124"/>
    <w:rsid w:val="00BE13C7"/>
    <w:rsid w:val="00CC6809"/>
    <w:rsid w:val="00CF05F1"/>
    <w:rsid w:val="00E001A3"/>
    <w:rsid w:val="00EC0EB0"/>
    <w:rsid w:val="00F12F54"/>
    <w:rsid w:val="00F32317"/>
    <w:rsid w:val="00F3233F"/>
    <w:rsid w:val="00F53456"/>
    <w:rsid w:val="00F6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31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5D44CD"/>
    <w:pPr>
      <w:spacing w:after="0" w:line="240" w:lineRule="auto"/>
      <w:jc w:val="center"/>
    </w:pPr>
    <w:rPr>
      <w:rFonts w:ascii="Arial" w:eastAsia="Times New Roman" w:hAnsi="Arial" w:cs="Tahoma"/>
      <w:sz w:val="18"/>
      <w:szCs w:val="20"/>
    </w:rPr>
  </w:style>
  <w:style w:type="character" w:customStyle="1" w:styleId="SOPLeader">
    <w:name w:val="SOP Leader"/>
    <w:rsid w:val="005D44CD"/>
    <w:rPr>
      <w:rFonts w:ascii="Calibri" w:hAnsi="Calibri"/>
      <w:b/>
      <w:sz w:val="24"/>
    </w:rPr>
  </w:style>
  <w:style w:type="paragraph" w:customStyle="1" w:styleId="SOPName">
    <w:name w:val="SOP Name"/>
    <w:basedOn w:val="Normal"/>
    <w:rsid w:val="005D44CD"/>
    <w:pPr>
      <w:spacing w:after="0" w:line="240" w:lineRule="auto"/>
    </w:pPr>
    <w:rPr>
      <w:rFonts w:ascii="Arial" w:eastAsia="Times New Roman" w:hAnsi="Arial" w:cs="Tahoma"/>
      <w:sz w:val="24"/>
      <w:szCs w:val="20"/>
    </w:rPr>
  </w:style>
  <w:style w:type="character" w:styleId="Hyperlink">
    <w:name w:val="Hyperlink"/>
    <w:semiHidden/>
    <w:rsid w:val="005D44CD"/>
    <w:rPr>
      <w:color w:val="0000FF"/>
      <w:u w:val="single"/>
    </w:rPr>
  </w:style>
  <w:style w:type="paragraph" w:customStyle="1" w:styleId="SOPTableHeader">
    <w:name w:val="SOP Table Header"/>
    <w:basedOn w:val="Normal"/>
    <w:rsid w:val="005D44CD"/>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5D44CD"/>
    <w:rPr>
      <w:sz w:val="18"/>
    </w:rPr>
  </w:style>
  <w:style w:type="paragraph" w:customStyle="1" w:styleId="SOPLevel1">
    <w:name w:val="SOP Level 1"/>
    <w:basedOn w:val="Normal"/>
    <w:rsid w:val="005D44CD"/>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5D44CD"/>
    <w:pPr>
      <w:numPr>
        <w:ilvl w:val="1"/>
      </w:numPr>
      <w:spacing w:before="20" w:after="20"/>
      <w:ind w:left="936" w:hanging="576"/>
    </w:pPr>
    <w:rPr>
      <w:b w:val="0"/>
    </w:rPr>
  </w:style>
  <w:style w:type="paragraph" w:customStyle="1" w:styleId="SOPLevel3">
    <w:name w:val="SOP Level 3"/>
    <w:basedOn w:val="SOPLevel2"/>
    <w:rsid w:val="005D44CD"/>
    <w:pPr>
      <w:numPr>
        <w:ilvl w:val="2"/>
      </w:numPr>
      <w:ind w:left="1728" w:hanging="792"/>
    </w:pPr>
  </w:style>
  <w:style w:type="paragraph" w:customStyle="1" w:styleId="SOPLevel4">
    <w:name w:val="SOP Level 4"/>
    <w:basedOn w:val="SOPLevel3"/>
    <w:rsid w:val="005D44CD"/>
    <w:pPr>
      <w:numPr>
        <w:ilvl w:val="3"/>
      </w:numPr>
      <w:tabs>
        <w:tab w:val="clear" w:pos="2898"/>
        <w:tab w:val="num" w:pos="2700"/>
      </w:tabs>
      <w:ind w:left="2736" w:hanging="1008"/>
    </w:pPr>
  </w:style>
  <w:style w:type="paragraph" w:customStyle="1" w:styleId="SOPLevel5">
    <w:name w:val="SOP Level 5"/>
    <w:basedOn w:val="SOPLevel4"/>
    <w:rsid w:val="005D44CD"/>
    <w:pPr>
      <w:numPr>
        <w:ilvl w:val="4"/>
      </w:numPr>
      <w:ind w:left="3960" w:hanging="1224"/>
    </w:pPr>
  </w:style>
  <w:style w:type="paragraph" w:customStyle="1" w:styleId="SOPLevel6">
    <w:name w:val="SOP Level 6"/>
    <w:basedOn w:val="SOPLevel5"/>
    <w:rsid w:val="005D44CD"/>
    <w:pPr>
      <w:numPr>
        <w:ilvl w:val="5"/>
      </w:numPr>
      <w:ind w:left="5400" w:hanging="1440"/>
    </w:pPr>
  </w:style>
  <w:style w:type="paragraph" w:styleId="BalloonText">
    <w:name w:val="Balloon Text"/>
    <w:basedOn w:val="Normal"/>
    <w:link w:val="BalloonTextChar"/>
    <w:uiPriority w:val="99"/>
    <w:semiHidden/>
    <w:unhideWhenUsed/>
    <w:rsid w:val="005D4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4CD"/>
    <w:rPr>
      <w:rFonts w:ascii="Tahoma" w:hAnsi="Tahoma" w:cs="Tahoma"/>
      <w:sz w:val="16"/>
      <w:szCs w:val="16"/>
    </w:rPr>
  </w:style>
  <w:style w:type="paragraph" w:styleId="Header">
    <w:name w:val="header"/>
    <w:basedOn w:val="Normal"/>
    <w:link w:val="HeaderChar"/>
    <w:uiPriority w:val="99"/>
    <w:unhideWhenUsed/>
    <w:rsid w:val="00646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4CD"/>
  </w:style>
  <w:style w:type="paragraph" w:styleId="Footer">
    <w:name w:val="footer"/>
    <w:basedOn w:val="Normal"/>
    <w:link w:val="FooterChar"/>
    <w:uiPriority w:val="99"/>
    <w:unhideWhenUsed/>
    <w:rsid w:val="00646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4CD"/>
  </w:style>
  <w:style w:type="table" w:styleId="TableGrid">
    <w:name w:val="Table Grid"/>
    <w:basedOn w:val="TableNormal"/>
    <w:rsid w:val="009B20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59FB4.B78FC5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Props1.xml><?xml version="1.0" encoding="utf-8"?>
<ds:datastoreItem xmlns:ds="http://schemas.openxmlformats.org/officeDocument/2006/customXml" ds:itemID="{B542932E-C52B-4A7C-ACAF-7BAC483994E5}">
  <ds:schemaRefs>
    <ds:schemaRef ds:uri="http://schemas.microsoft.com/sharepoint/v3/contenttype/forms"/>
  </ds:schemaRefs>
</ds:datastoreItem>
</file>

<file path=customXml/itemProps2.xml><?xml version="1.0" encoding="utf-8"?>
<ds:datastoreItem xmlns:ds="http://schemas.openxmlformats.org/officeDocument/2006/customXml" ds:itemID="{F84BA6EC-1BD3-435D-83F5-22ECE0A08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57073-4F35-4E8E-9804-9F70D81521A7}">
  <ds:schemaRefs>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56c6f19a-effe-4935-9341-fe92395bebc7"/>
    <ds:schemaRef ds:uri="2ef64c7a-f0db-4be9-a2d1-a81bc31083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2023-11-13T20:42:00Z</dcterms:created>
  <dcterms:modified xsi:type="dcterms:W3CDTF">2023-11-13T20:42:00Z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