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902" w:type="dxa"/>
        <w:tblInd w:w="1525" w:type="dxa"/>
        <w:tblLook w:val="04A0" w:firstRow="1" w:lastRow="0" w:firstColumn="1" w:lastColumn="0" w:noHBand="0" w:noVBand="1"/>
      </w:tblPr>
      <w:tblGrid>
        <w:gridCol w:w="848"/>
        <w:gridCol w:w="772"/>
        <w:gridCol w:w="1260"/>
        <w:gridCol w:w="1852"/>
        <w:gridCol w:w="1170"/>
      </w:tblGrid>
      <w:tr w:rsidR="00AE43D4" w14:paraId="0A16DE33" w14:textId="77777777" w:rsidTr="00D73BC4">
        <w:trPr>
          <w:trHeight w:val="350"/>
        </w:trPr>
        <w:tc>
          <w:tcPr>
            <w:tcW w:w="848" w:type="dxa"/>
          </w:tcPr>
          <w:p w14:paraId="33AE0B09" w14:textId="77777777" w:rsidR="00AE43D4" w:rsidRPr="00A1672A" w:rsidRDefault="00AE43D4" w:rsidP="00042D92">
            <w:pPr>
              <w:rPr>
                <w:rStyle w:val="SOPLeader"/>
                <w:rFonts w:ascii="Arial" w:hAnsi="Arial" w:cs="Arial"/>
              </w:rPr>
            </w:pPr>
          </w:p>
        </w:tc>
        <w:tc>
          <w:tcPr>
            <w:tcW w:w="5054" w:type="dxa"/>
            <w:gridSpan w:val="4"/>
          </w:tcPr>
          <w:p w14:paraId="51AD8D69" w14:textId="76158C23" w:rsidR="00AE43D4" w:rsidRDefault="00AE43D4" w:rsidP="00042D92">
            <w:pPr>
              <w:rPr>
                <w:color w:val="040404"/>
              </w:rPr>
            </w:pPr>
            <w:r w:rsidRPr="00A1672A">
              <w:rPr>
                <w:rStyle w:val="SOPLeader"/>
                <w:rFonts w:ascii="Arial" w:hAnsi="Arial" w:cs="Arial"/>
              </w:rPr>
              <w:t>SOP: Post-Review</w:t>
            </w:r>
          </w:p>
        </w:tc>
      </w:tr>
      <w:tr w:rsidR="00AE43D4" w:rsidRPr="004162D3" w14:paraId="0720C74B" w14:textId="77777777" w:rsidTr="00D73BC4">
        <w:tc>
          <w:tcPr>
            <w:tcW w:w="1620" w:type="dxa"/>
            <w:gridSpan w:val="2"/>
            <w:vAlign w:val="center"/>
          </w:tcPr>
          <w:p w14:paraId="171D0B78" w14:textId="0FCA7A8F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NUMBER</w:t>
            </w:r>
          </w:p>
        </w:tc>
        <w:tc>
          <w:tcPr>
            <w:tcW w:w="1260" w:type="dxa"/>
            <w:vAlign w:val="center"/>
          </w:tcPr>
          <w:p w14:paraId="504DC9DE" w14:textId="65CC8AF3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DATE</w:t>
            </w:r>
          </w:p>
        </w:tc>
        <w:tc>
          <w:tcPr>
            <w:tcW w:w="1852" w:type="dxa"/>
          </w:tcPr>
          <w:p w14:paraId="4D6F5D6F" w14:textId="78777D65" w:rsidR="00AE43D4" w:rsidRPr="004162D3" w:rsidRDefault="00AE43D4" w:rsidP="00AE4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</w:t>
            </w:r>
          </w:p>
        </w:tc>
        <w:tc>
          <w:tcPr>
            <w:tcW w:w="1170" w:type="dxa"/>
            <w:vAlign w:val="center"/>
          </w:tcPr>
          <w:p w14:paraId="301DED2E" w14:textId="36EA1689" w:rsidR="00AE43D4" w:rsidRPr="004162D3" w:rsidRDefault="00AE43D4" w:rsidP="00AE43D4">
            <w:pPr>
              <w:jc w:val="center"/>
              <w:rPr>
                <w:rFonts w:ascii="Arial" w:hAnsi="Arial" w:cs="Arial"/>
                <w:color w:val="040404"/>
              </w:rPr>
            </w:pPr>
            <w:r w:rsidRPr="004162D3">
              <w:rPr>
                <w:rFonts w:ascii="Arial" w:hAnsi="Arial" w:cs="Arial"/>
              </w:rPr>
              <w:t>PAGE</w:t>
            </w:r>
          </w:p>
        </w:tc>
      </w:tr>
      <w:tr w:rsidR="00AE43D4" w14:paraId="7D7FD16C" w14:textId="77777777" w:rsidTr="00D73BC4">
        <w:tc>
          <w:tcPr>
            <w:tcW w:w="1620" w:type="dxa"/>
            <w:gridSpan w:val="2"/>
            <w:vAlign w:val="center"/>
          </w:tcPr>
          <w:p w14:paraId="02122021" w14:textId="3EC90774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786">
              <w:rPr>
                <w:rFonts w:ascii="Arial" w:hAnsi="Arial" w:cs="Arial"/>
              </w:rPr>
              <w:t>HRP-052-R0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vAlign w:val="center"/>
          </w:tcPr>
          <w:p w14:paraId="0C673E5A" w14:textId="281DBFE8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12/13/22</w:t>
            </w:r>
          </w:p>
        </w:tc>
        <w:tc>
          <w:tcPr>
            <w:tcW w:w="1852" w:type="dxa"/>
          </w:tcPr>
          <w:p w14:paraId="3F46CB88" w14:textId="77777777" w:rsidR="00AE43D4" w:rsidRPr="00BD1786" w:rsidRDefault="00AE43D4" w:rsidP="00AE4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5C68F9A" w14:textId="44605918" w:rsidR="00AE43D4" w:rsidRPr="00BD1786" w:rsidRDefault="00AE43D4" w:rsidP="00AE4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786">
              <w:rPr>
                <w:rFonts w:ascii="Arial" w:hAnsi="Arial" w:cs="Arial"/>
              </w:rPr>
              <w:fldChar w:fldCharType="begin"/>
            </w:r>
            <w:r w:rsidRPr="00BD1786">
              <w:rPr>
                <w:rFonts w:ascii="Arial" w:hAnsi="Arial" w:cs="Arial"/>
              </w:rPr>
              <w:instrText xml:space="preserve"> PAGE </w:instrText>
            </w:r>
            <w:r w:rsidRPr="00BD1786">
              <w:rPr>
                <w:rFonts w:ascii="Arial" w:hAnsi="Arial" w:cs="Arial"/>
              </w:rPr>
              <w:fldChar w:fldCharType="separate"/>
            </w:r>
            <w:r w:rsidRPr="00BD1786">
              <w:rPr>
                <w:rFonts w:ascii="Arial" w:hAnsi="Arial" w:cs="Arial"/>
                <w:noProof/>
              </w:rPr>
              <w:t>1</w:t>
            </w:r>
            <w:r w:rsidRPr="00BD1786">
              <w:rPr>
                <w:rFonts w:ascii="Arial" w:hAnsi="Arial" w:cs="Arial"/>
              </w:rPr>
              <w:fldChar w:fldCharType="end"/>
            </w:r>
            <w:r w:rsidRPr="00BD1786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2</w:t>
            </w:r>
          </w:p>
        </w:tc>
      </w:tr>
    </w:tbl>
    <w:p w14:paraId="2F2FFBAC" w14:textId="159E9FE3" w:rsidR="00042D92" w:rsidRPr="00665520" w:rsidRDefault="00042D92" w:rsidP="00D73BC4">
      <w:pPr>
        <w:pStyle w:val="SOPLevel1"/>
      </w:pPr>
      <w:r w:rsidRPr="00665520">
        <w:t>PURPOSE</w:t>
      </w:r>
    </w:p>
    <w:p w14:paraId="5ED6C19C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This procedure establishes the process for communications after a protocol is reviewed.</w:t>
      </w:r>
    </w:p>
    <w:p w14:paraId="6FCE6C7D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The process begins when:</w:t>
      </w:r>
    </w:p>
    <w:p w14:paraId="5D24EA0D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 xml:space="preserve">A </w:t>
      </w:r>
      <w:r w:rsidRPr="00665520">
        <w:rPr>
          <w:color w:val="040404"/>
          <w:u w:val="double"/>
        </w:rPr>
        <w:t>Designated Reviewer</w:t>
      </w:r>
      <w:r w:rsidRPr="00665520">
        <w:rPr>
          <w:color w:val="040404"/>
        </w:rPr>
        <w:t xml:space="preserve"> has completed a </w:t>
      </w:r>
      <w:r w:rsidRPr="00665520">
        <w:rPr>
          <w:color w:val="040404"/>
          <w:u w:val="double"/>
        </w:rPr>
        <w:t>Non-Committee Review</w:t>
      </w:r>
      <w:r w:rsidRPr="00665520">
        <w:rPr>
          <w:color w:val="040404"/>
        </w:rPr>
        <w:t xml:space="preserve"> and provided completed materials to the IRB staff; OR</w:t>
      </w:r>
    </w:p>
    <w:p w14:paraId="6C33CB43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 xml:space="preserve">An IRB meeting </w:t>
      </w:r>
      <w:proofErr w:type="spellStart"/>
      <w:r w:rsidRPr="00665520">
        <w:rPr>
          <w:color w:val="040404"/>
        </w:rPr>
        <w:t>has</w:t>
      </w:r>
      <w:proofErr w:type="spellEnd"/>
      <w:r w:rsidRPr="00665520">
        <w:rPr>
          <w:color w:val="040404"/>
        </w:rPr>
        <w:t xml:space="preserve"> adjourned and the IRB chair or IRB manager has approved the minutes; OR</w:t>
      </w:r>
    </w:p>
    <w:p w14:paraId="1A09C1AD" w14:textId="77777777" w:rsidR="00042D92" w:rsidRPr="00665520" w:rsidRDefault="00042D92" w:rsidP="00AF4D0B">
      <w:pPr>
        <w:pStyle w:val="SOPLevel3"/>
        <w:rPr>
          <w:color w:val="040404"/>
        </w:rPr>
      </w:pPr>
      <w:r w:rsidRPr="00665520">
        <w:rPr>
          <w:color w:val="040404"/>
        </w:rPr>
        <w:t>An IRB staff member has verified that modifications required to secure approval have been made.</w:t>
      </w:r>
    </w:p>
    <w:p w14:paraId="0357D8E7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The process ends when all correspondence related to IRB determinations and actions have been sent and additional tasks have been completed.</w:t>
      </w:r>
    </w:p>
    <w:p w14:paraId="5C28BB3B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REVISIONS FROM PREVIOUS VERSION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1165"/>
        <w:gridCol w:w="1260"/>
        <w:gridCol w:w="7290"/>
      </w:tblGrid>
      <w:tr w:rsidR="00A1672A" w14:paraId="39095C6A" w14:textId="77777777" w:rsidTr="004162D3">
        <w:tc>
          <w:tcPr>
            <w:tcW w:w="1165" w:type="dxa"/>
          </w:tcPr>
          <w:p w14:paraId="21A3B1CF" w14:textId="77777777" w:rsidR="00A1672A" w:rsidRPr="004162D3" w:rsidRDefault="00A1672A" w:rsidP="00FB65CB">
            <w:pPr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260" w:type="dxa"/>
          </w:tcPr>
          <w:p w14:paraId="1FE910D7" w14:textId="77777777" w:rsidR="00A1672A" w:rsidRPr="004162D3" w:rsidRDefault="00A1672A" w:rsidP="00FB65CB">
            <w:pPr>
              <w:jc w:val="center"/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290" w:type="dxa"/>
          </w:tcPr>
          <w:p w14:paraId="4B37DC40" w14:textId="77777777" w:rsidR="00A1672A" w:rsidRPr="004162D3" w:rsidRDefault="00A1672A" w:rsidP="00FB65CB">
            <w:pPr>
              <w:rPr>
                <w:rFonts w:ascii="Arial" w:hAnsi="Arial" w:cs="Arial"/>
                <w:b/>
              </w:rPr>
            </w:pPr>
            <w:r w:rsidRPr="004162D3">
              <w:rPr>
                <w:rFonts w:ascii="Arial" w:hAnsi="Arial" w:cs="Arial"/>
                <w:b/>
              </w:rPr>
              <w:t>Revision</w:t>
            </w:r>
          </w:p>
        </w:tc>
      </w:tr>
      <w:tr w:rsidR="00A1672A" w14:paraId="1025FD28" w14:textId="77777777" w:rsidTr="004162D3">
        <w:tc>
          <w:tcPr>
            <w:tcW w:w="1165" w:type="dxa"/>
          </w:tcPr>
          <w:p w14:paraId="372B2E31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R00</w:t>
            </w:r>
          </w:p>
        </w:tc>
        <w:tc>
          <w:tcPr>
            <w:tcW w:w="1260" w:type="dxa"/>
          </w:tcPr>
          <w:p w14:paraId="0E97E5EB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3/25/14</w:t>
            </w:r>
          </w:p>
        </w:tc>
        <w:tc>
          <w:tcPr>
            <w:tcW w:w="7290" w:type="dxa"/>
          </w:tcPr>
          <w:p w14:paraId="745C3339" w14:textId="77777777" w:rsidR="00A1672A" w:rsidRPr="004162D3" w:rsidRDefault="00A1672A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Original issue</w:t>
            </w:r>
            <w:r w:rsidRPr="004162D3">
              <w:rPr>
                <w:rFonts w:ascii="Arial" w:hAnsi="Arial" w:cs="Arial"/>
              </w:rPr>
              <w:tab/>
            </w:r>
          </w:p>
        </w:tc>
      </w:tr>
      <w:tr w:rsidR="00A1672A" w14:paraId="04CD441E" w14:textId="77777777" w:rsidTr="004162D3">
        <w:tc>
          <w:tcPr>
            <w:tcW w:w="1165" w:type="dxa"/>
          </w:tcPr>
          <w:p w14:paraId="1C6DAD4B" w14:textId="2CDCA60F" w:rsidR="00A1672A" w:rsidRPr="004162D3" w:rsidRDefault="005276F0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369DCDD8" w14:textId="77777777" w:rsidR="00A1672A" w:rsidRPr="004162D3" w:rsidRDefault="00A1672A" w:rsidP="00FB65CB">
            <w:pPr>
              <w:jc w:val="center"/>
              <w:rPr>
                <w:rFonts w:ascii="Arial" w:hAnsi="Arial" w:cs="Arial"/>
              </w:rPr>
            </w:pPr>
            <w:r w:rsidRPr="004162D3">
              <w:rPr>
                <w:rFonts w:ascii="Arial" w:hAnsi="Arial" w:cs="Arial"/>
              </w:rPr>
              <w:t>11/20/19</w:t>
            </w:r>
          </w:p>
        </w:tc>
        <w:tc>
          <w:tcPr>
            <w:tcW w:w="7290" w:type="dxa"/>
          </w:tcPr>
          <w:p w14:paraId="5EEEA8C4" w14:textId="6AAFAC50" w:rsidR="00A1672A" w:rsidRPr="004162D3" w:rsidRDefault="005276F0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checks on COI review and training, stamp (if required)</w:t>
            </w:r>
          </w:p>
        </w:tc>
      </w:tr>
      <w:tr w:rsidR="00A251E9" w14:paraId="3E91528B" w14:textId="77777777" w:rsidTr="004162D3">
        <w:tc>
          <w:tcPr>
            <w:tcW w:w="1165" w:type="dxa"/>
          </w:tcPr>
          <w:p w14:paraId="37D2AE12" w14:textId="0FF481B8" w:rsidR="00A251E9" w:rsidRDefault="00A251E9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286CB711" w14:textId="161A93B6" w:rsidR="00A251E9" w:rsidRPr="004162D3" w:rsidRDefault="00A251E9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12/16/2020</w:t>
            </w:r>
          </w:p>
        </w:tc>
        <w:tc>
          <w:tcPr>
            <w:tcW w:w="7290" w:type="dxa"/>
          </w:tcPr>
          <w:p w14:paraId="6DB7C870" w14:textId="7A7CBF81" w:rsidR="00A251E9" w:rsidRDefault="00A251E9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</w:p>
        </w:tc>
      </w:tr>
      <w:tr w:rsidR="00411F73" w14:paraId="312B04FE" w14:textId="77777777" w:rsidTr="004162D3">
        <w:tc>
          <w:tcPr>
            <w:tcW w:w="1165" w:type="dxa"/>
          </w:tcPr>
          <w:p w14:paraId="0E33C96C" w14:textId="4DDD9AAF" w:rsidR="00411F73" w:rsidRDefault="00411F73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R01</w:t>
            </w:r>
          </w:p>
        </w:tc>
        <w:tc>
          <w:tcPr>
            <w:tcW w:w="1260" w:type="dxa"/>
          </w:tcPr>
          <w:p w14:paraId="73C2E78F" w14:textId="76751B31" w:rsidR="00411F73" w:rsidRDefault="00411F73" w:rsidP="00FB6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1/12/2022</w:t>
            </w:r>
          </w:p>
        </w:tc>
        <w:tc>
          <w:tcPr>
            <w:tcW w:w="7290" w:type="dxa"/>
          </w:tcPr>
          <w:p w14:paraId="173A430D" w14:textId="45239851" w:rsidR="00411F73" w:rsidRDefault="00411F73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</w:p>
        </w:tc>
      </w:tr>
      <w:tr w:rsidR="001632BB" w:rsidRPr="00FF011B" w14:paraId="065B9C3A" w14:textId="77777777" w:rsidTr="004162D3">
        <w:tc>
          <w:tcPr>
            <w:tcW w:w="1165" w:type="dxa"/>
          </w:tcPr>
          <w:p w14:paraId="79047B39" w14:textId="36A246CC" w:rsidR="001632BB" w:rsidRPr="00FF011B" w:rsidRDefault="00E56ABD" w:rsidP="00FB65CB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R02</w:t>
            </w:r>
          </w:p>
        </w:tc>
        <w:tc>
          <w:tcPr>
            <w:tcW w:w="1260" w:type="dxa"/>
          </w:tcPr>
          <w:p w14:paraId="3BF82BC0" w14:textId="1354449B" w:rsidR="001632BB" w:rsidRPr="00FF011B" w:rsidRDefault="001632BB" w:rsidP="00FB65CB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12/13/2022</w:t>
            </w:r>
          </w:p>
        </w:tc>
        <w:tc>
          <w:tcPr>
            <w:tcW w:w="7290" w:type="dxa"/>
          </w:tcPr>
          <w:p w14:paraId="3AB329E9" w14:textId="273DE5A4" w:rsidR="001632BB" w:rsidRPr="00FF011B" w:rsidRDefault="00261D25" w:rsidP="00FB65CB">
            <w:pPr>
              <w:tabs>
                <w:tab w:val="right" w:pos="8901"/>
              </w:tabs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Added serious or continuing non-compliance information</w:t>
            </w:r>
          </w:p>
        </w:tc>
      </w:tr>
      <w:tr w:rsidR="00AE43D4" w:rsidRPr="00FF011B" w14:paraId="37493C18" w14:textId="77777777" w:rsidTr="004162D3">
        <w:tc>
          <w:tcPr>
            <w:tcW w:w="1165" w:type="dxa"/>
          </w:tcPr>
          <w:p w14:paraId="257C2624" w14:textId="4DBBDDFC" w:rsidR="00AE43D4" w:rsidRPr="00FF011B" w:rsidRDefault="00AE43D4" w:rsidP="00AE43D4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R02</w:t>
            </w:r>
          </w:p>
        </w:tc>
        <w:tc>
          <w:tcPr>
            <w:tcW w:w="1260" w:type="dxa"/>
          </w:tcPr>
          <w:p w14:paraId="26CFF731" w14:textId="4051C160" w:rsidR="00AE43D4" w:rsidRPr="00FF011B" w:rsidRDefault="00AE43D4" w:rsidP="00AE43D4">
            <w:pPr>
              <w:jc w:val="center"/>
              <w:rPr>
                <w:rFonts w:ascii="Arial" w:hAnsi="Arial" w:cs="Arial"/>
              </w:rPr>
            </w:pPr>
            <w:r w:rsidRPr="00FF011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1/13/23</w:t>
            </w:r>
          </w:p>
        </w:tc>
        <w:tc>
          <w:tcPr>
            <w:tcW w:w="7290" w:type="dxa"/>
          </w:tcPr>
          <w:p w14:paraId="134ACA8D" w14:textId="67D20345" w:rsidR="00AE43D4" w:rsidRPr="00FF011B" w:rsidRDefault="00AE43D4" w:rsidP="00AE43D4">
            <w:pPr>
              <w:tabs>
                <w:tab w:val="right" w:pos="8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review, no changes</w:t>
            </w:r>
          </w:p>
        </w:tc>
      </w:tr>
    </w:tbl>
    <w:p w14:paraId="51BAEF5D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POLICY</w:t>
      </w:r>
    </w:p>
    <w:p w14:paraId="0B7DB308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The IRB reports its findings and actions to the investigator.</w:t>
      </w:r>
    </w:p>
    <w:p w14:paraId="7049F120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The IRB reports its findings and actions to the institution.</w:t>
      </w:r>
    </w:p>
    <w:p w14:paraId="5FB453CE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When the IRB disapproves research, it provides the investigator with a statement of the reasons for the decision and gives the investigator an opportunity to respond in person or in writing.</w:t>
      </w:r>
    </w:p>
    <w:p w14:paraId="23FFF75B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 xml:space="preserve">These reporting procedures are to be completed within 10 business days of the IRB meeting or receipt of the completed </w:t>
      </w:r>
      <w:r w:rsidRPr="00FF011B">
        <w:rPr>
          <w:color w:val="040404"/>
          <w:u w:val="double"/>
        </w:rPr>
        <w:t>Non-Committee Review</w:t>
      </w:r>
      <w:r w:rsidRPr="00FF011B">
        <w:rPr>
          <w:color w:val="040404"/>
        </w:rPr>
        <w:t xml:space="preserve"> materials.</w:t>
      </w:r>
    </w:p>
    <w:p w14:paraId="2DC118A7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 xml:space="preserve">Reporting of </w:t>
      </w:r>
      <w:r w:rsidRPr="00FF011B">
        <w:rPr>
          <w:color w:val="040404"/>
          <w:u w:val="double"/>
        </w:rPr>
        <w:t>Serious Non-Compliance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Continuing Non-Compliance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Suspension of IRB Approval</w:t>
      </w:r>
      <w:r w:rsidRPr="00FF011B">
        <w:rPr>
          <w:color w:val="040404"/>
        </w:rPr>
        <w:t xml:space="preserve">; </w:t>
      </w:r>
      <w:r w:rsidRPr="00FF011B">
        <w:rPr>
          <w:color w:val="040404"/>
          <w:u w:val="double"/>
        </w:rPr>
        <w:t>Termination of IRB Approval</w:t>
      </w:r>
      <w:r w:rsidRPr="00FF011B">
        <w:rPr>
          <w:color w:val="040404"/>
        </w:rPr>
        <w:t xml:space="preserve">; and </w:t>
      </w:r>
      <w:r w:rsidRPr="00FF011B">
        <w:rPr>
          <w:color w:val="040404"/>
          <w:u w:val="double"/>
        </w:rPr>
        <w:t>Unanticipated Problem Involving Risks to Subjects or Others</w:t>
      </w:r>
      <w:r w:rsidRPr="00FF011B">
        <w:rPr>
          <w:color w:val="040404"/>
        </w:rPr>
        <w:t xml:space="preserve"> is to take place within 30 days from the recognition of a reportable problem.</w:t>
      </w:r>
    </w:p>
    <w:p w14:paraId="63DB9A27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RESPONSIBILITIES</w:t>
      </w:r>
    </w:p>
    <w:p w14:paraId="7AB5C20D" w14:textId="77777777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IRB staff members carry out these procedures.</w:t>
      </w:r>
    </w:p>
    <w:p w14:paraId="29E25E8A" w14:textId="77777777" w:rsidR="00042D92" w:rsidRPr="00FF011B" w:rsidRDefault="00042D92" w:rsidP="00AF4D0B">
      <w:pPr>
        <w:pStyle w:val="SOPLevel1"/>
        <w:rPr>
          <w:color w:val="040404"/>
        </w:rPr>
      </w:pPr>
      <w:r w:rsidRPr="00FF011B">
        <w:rPr>
          <w:color w:val="040404"/>
        </w:rPr>
        <w:t>PROCEDURE</w:t>
      </w:r>
    </w:p>
    <w:p w14:paraId="6C51AAAC" w14:textId="77777777" w:rsidR="00042D92" w:rsidRPr="00FF011B" w:rsidRDefault="00042D92" w:rsidP="00665520">
      <w:pPr>
        <w:pStyle w:val="SOPLevel2"/>
        <w:rPr>
          <w:color w:val="040404"/>
        </w:rPr>
      </w:pPr>
      <w:r w:rsidRPr="00FF011B">
        <w:rPr>
          <w:color w:val="040404"/>
        </w:rPr>
        <w:t xml:space="preserve">If the </w:t>
      </w:r>
      <w:r w:rsidRPr="00FF011B">
        <w:rPr>
          <w:color w:val="040404"/>
          <w:u w:val="double"/>
        </w:rPr>
        <w:t>Non-Committee Review</w:t>
      </w:r>
      <w:r w:rsidRPr="00FF011B">
        <w:rPr>
          <w:color w:val="040404"/>
        </w:rPr>
        <w:t xml:space="preserve"> indicated a </w:t>
      </w:r>
      <w:r w:rsidRPr="00FF011B">
        <w:rPr>
          <w:color w:val="040404"/>
          <w:u w:val="double"/>
        </w:rPr>
        <w:t>Conflicting Interest</w:t>
      </w:r>
      <w:r w:rsidRPr="00FF011B">
        <w:rPr>
          <w:color w:val="040404"/>
        </w:rPr>
        <w:t xml:space="preserve"> or a lack of expertise, follow “SOP: Non-Committee Review Preparation (HRP-031).”</w:t>
      </w:r>
    </w:p>
    <w:p w14:paraId="140D80D2" w14:textId="6BCD21BA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Refer to “WORKSHEET: Approval Intervals (HRP-302)” to calculated approval intervals.</w:t>
      </w:r>
    </w:p>
    <w:p w14:paraId="3793D07C" w14:textId="7AFBB636" w:rsidR="005276F0" w:rsidRPr="00FF011B" w:rsidRDefault="005276F0" w:rsidP="00AF4D0B">
      <w:pPr>
        <w:pStyle w:val="SOPLevel2"/>
        <w:rPr>
          <w:color w:val="040404"/>
        </w:rPr>
      </w:pPr>
      <w:r w:rsidRPr="00FF011B">
        <w:rPr>
          <w:color w:val="040404"/>
        </w:rPr>
        <w:t>Confirm that conflict of interest review is complete.</w:t>
      </w:r>
    </w:p>
    <w:p w14:paraId="2AD02CE7" w14:textId="60F6E6A8" w:rsidR="005276F0" w:rsidRPr="00FF011B" w:rsidRDefault="005276F0" w:rsidP="00AF4D0B">
      <w:pPr>
        <w:pStyle w:val="SOPLevel2"/>
        <w:rPr>
          <w:color w:val="040404"/>
        </w:rPr>
      </w:pPr>
      <w:r w:rsidRPr="00FF011B">
        <w:rPr>
          <w:color w:val="040404"/>
        </w:rPr>
        <w:t>Confirm that all study personnel have required training.</w:t>
      </w:r>
    </w:p>
    <w:p w14:paraId="6513C756" w14:textId="12F107C4" w:rsidR="00042D92" w:rsidRPr="00FF011B" w:rsidRDefault="00042D92" w:rsidP="00AF4D0B">
      <w:pPr>
        <w:pStyle w:val="SOPLevel2"/>
        <w:rPr>
          <w:color w:val="040404"/>
        </w:rPr>
      </w:pPr>
      <w:r w:rsidRPr="00FF011B">
        <w:rPr>
          <w:color w:val="040404"/>
        </w:rPr>
        <w:t>Execute the “Finalize Documents” to stamp</w:t>
      </w:r>
      <w:r w:rsidR="005276F0" w:rsidRPr="00FF011B">
        <w:rPr>
          <w:color w:val="040404"/>
        </w:rPr>
        <w:t xml:space="preserve"> (if required)</w:t>
      </w:r>
      <w:r w:rsidRPr="00FF011B">
        <w:rPr>
          <w:color w:val="040404"/>
        </w:rPr>
        <w:t xml:space="preserve"> and accept all changes for attached documents.</w:t>
      </w:r>
    </w:p>
    <w:p w14:paraId="42D32048" w14:textId="77777777" w:rsidR="00042D92" w:rsidRPr="00FF011B" w:rsidRDefault="00042D92" w:rsidP="00AF4D0B">
      <w:pPr>
        <w:pStyle w:val="SOPLevel3"/>
        <w:rPr>
          <w:color w:val="040404"/>
        </w:rPr>
      </w:pPr>
      <w:r w:rsidRPr="00FF011B">
        <w:rPr>
          <w:color w:val="040404"/>
        </w:rPr>
        <w:t>Execute the “Prepare Letter” activity, and modify the letter as needed.</w:t>
      </w:r>
    </w:p>
    <w:p w14:paraId="388A5587" w14:textId="2D9A3D59" w:rsidR="00042D92" w:rsidRPr="00FF011B" w:rsidRDefault="00042D92" w:rsidP="00AF4D0B">
      <w:pPr>
        <w:pStyle w:val="SOPLevel3"/>
        <w:rPr>
          <w:color w:val="040404"/>
        </w:rPr>
      </w:pPr>
      <w:r w:rsidRPr="00FF011B">
        <w:rPr>
          <w:color w:val="040404"/>
        </w:rPr>
        <w:t>Execute the “Send Letter” activity.</w:t>
      </w:r>
    </w:p>
    <w:p w14:paraId="243BC159" w14:textId="77777777" w:rsidR="001632BB" w:rsidRPr="00FF011B" w:rsidRDefault="001632BB" w:rsidP="001632BB">
      <w:pPr>
        <w:pStyle w:val="SOPLevel2"/>
        <w:ind w:left="576" w:hanging="216"/>
      </w:pPr>
      <w:r w:rsidRPr="00FF011B">
        <w:t xml:space="preserve">For determinations of </w:t>
      </w:r>
      <w:r w:rsidRPr="00FF011B">
        <w:rPr>
          <w:u w:val="double"/>
        </w:rPr>
        <w:t>Serious Non-Compliance</w:t>
      </w:r>
      <w:r w:rsidRPr="00FF011B">
        <w:t xml:space="preserve">; </w:t>
      </w:r>
      <w:r w:rsidRPr="00FF011B">
        <w:rPr>
          <w:u w:val="double"/>
        </w:rPr>
        <w:t>Continuing Non-Compliance</w:t>
      </w:r>
      <w:r w:rsidRPr="00FF011B">
        <w:t xml:space="preserve">; </w:t>
      </w:r>
      <w:r w:rsidRPr="00FF011B">
        <w:rPr>
          <w:u w:val="double"/>
        </w:rPr>
        <w:t>Suspension of IRB Approval</w:t>
      </w:r>
      <w:r w:rsidRPr="00FF011B">
        <w:t xml:space="preserve">; </w:t>
      </w:r>
      <w:r w:rsidRPr="00FF011B">
        <w:rPr>
          <w:u w:val="double"/>
        </w:rPr>
        <w:t>Termination of IRB Approval</w:t>
      </w:r>
      <w:r w:rsidRPr="00FF011B">
        <w:t xml:space="preserve">; or </w:t>
      </w:r>
      <w:r w:rsidRPr="00FF011B">
        <w:rPr>
          <w:u w:val="double"/>
        </w:rPr>
        <w:t>Unanticipated Problem Involving Risks to Subjects or Others:</w:t>
      </w:r>
    </w:p>
    <w:p w14:paraId="23753F63" w14:textId="77777777" w:rsidR="001632BB" w:rsidRPr="00FF011B" w:rsidRDefault="001632BB" w:rsidP="001632BB">
      <w:pPr>
        <w:pStyle w:val="SOPLevel3"/>
      </w:pPr>
      <w:r w:rsidRPr="00FF011B">
        <w:t>Refer to “WORKSHEET: Communication of Review Results (HRP-303)” and send all applicable letters to the Principal Investigator within 5 business days.</w:t>
      </w:r>
    </w:p>
    <w:p w14:paraId="640D7A73" w14:textId="77777777" w:rsidR="001632BB" w:rsidRPr="00FF011B" w:rsidRDefault="001632BB" w:rsidP="001632BB">
      <w:pPr>
        <w:pStyle w:val="SOPLevel4"/>
      </w:pPr>
      <w:r w:rsidRPr="00FF011B">
        <w:t>Have letter signed by the signatory in the template letter.</w:t>
      </w:r>
    </w:p>
    <w:p w14:paraId="741F8489" w14:textId="77777777" w:rsidR="001632BB" w:rsidRPr="00FF011B" w:rsidRDefault="001632BB" w:rsidP="001632BB">
      <w:pPr>
        <w:pStyle w:val="SOPLevel4"/>
      </w:pPr>
      <w:r w:rsidRPr="00FF011B">
        <w:t>Send the letter to the inside addresses and cc list as directed by the letter.</w:t>
      </w:r>
    </w:p>
    <w:p w14:paraId="782C7826" w14:textId="77777777" w:rsidR="001632BB" w:rsidRPr="00FF011B" w:rsidRDefault="001632BB" w:rsidP="001632BB">
      <w:pPr>
        <w:pStyle w:val="SOPLevel3"/>
      </w:pPr>
      <w:r w:rsidRPr="00FF011B">
        <w:lastRenderedPageBreak/>
        <w:t>Use “LETTER TEMPLATE: External Report (HRP-520)” to send to outside agencies within 30 business days from the determination of a reportable problem.</w:t>
      </w:r>
    </w:p>
    <w:p w14:paraId="11303E93" w14:textId="77777777" w:rsidR="001632BB" w:rsidRPr="00FF011B" w:rsidRDefault="001632BB" w:rsidP="001632BB">
      <w:pPr>
        <w:pStyle w:val="SOPLevel2"/>
      </w:pPr>
    </w:p>
    <w:p w14:paraId="2E00010C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MATERIALS</w:t>
      </w:r>
    </w:p>
    <w:p w14:paraId="5134FD81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SOP: Non-Committee Review Preparation (HRP-031)</w:t>
      </w:r>
    </w:p>
    <w:p w14:paraId="78EE1706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WORKSHEET: Communication of Review Results (HRP-303)</w:t>
      </w:r>
    </w:p>
    <w:p w14:paraId="60F6473A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WORKSHEET: Approval Intervals (HRP-302)</w:t>
      </w:r>
    </w:p>
    <w:p w14:paraId="63175442" w14:textId="77777777" w:rsidR="00042D92" w:rsidRPr="00665520" w:rsidRDefault="00042D92" w:rsidP="00AF4D0B">
      <w:pPr>
        <w:pStyle w:val="SOPLevel1"/>
        <w:rPr>
          <w:color w:val="040404"/>
        </w:rPr>
      </w:pPr>
      <w:r w:rsidRPr="00665520">
        <w:rPr>
          <w:color w:val="040404"/>
        </w:rPr>
        <w:t>REFERENCES</w:t>
      </w:r>
    </w:p>
    <w:p w14:paraId="1108602A" w14:textId="77777777" w:rsidR="00042D92" w:rsidRPr="00665520" w:rsidRDefault="00042D92" w:rsidP="00AF4D0B">
      <w:pPr>
        <w:pStyle w:val="SOPLevel2"/>
        <w:rPr>
          <w:color w:val="040404"/>
        </w:rPr>
      </w:pPr>
      <w:r w:rsidRPr="00665520">
        <w:rPr>
          <w:color w:val="040404"/>
        </w:rPr>
        <w:t>45 CFR §46.103(b)(4)(</w:t>
      </w:r>
      <w:proofErr w:type="spellStart"/>
      <w:r w:rsidRPr="00665520">
        <w:rPr>
          <w:color w:val="040404"/>
        </w:rPr>
        <w:t>i</w:t>
      </w:r>
      <w:proofErr w:type="spellEnd"/>
      <w:r w:rsidRPr="00665520">
        <w:rPr>
          <w:color w:val="040404"/>
        </w:rPr>
        <w:t>), 45 CFR §46.207, 45 CFR §46.306(2)(C), 45 CFR §46.306(2)(D), 45 CFR §46.407, 45 CFR §46 Waiver of Informed Consent Requirements in Certain Emergency Research (November 1, 1996)</w:t>
      </w:r>
    </w:p>
    <w:p w14:paraId="733C0CB0" w14:textId="181343B6" w:rsidR="00042D92" w:rsidRPr="005276F0" w:rsidRDefault="00042D92" w:rsidP="007C6CD3">
      <w:pPr>
        <w:pStyle w:val="SOPLevel2"/>
        <w:numPr>
          <w:ilvl w:val="0"/>
          <w:numId w:val="0"/>
        </w:numPr>
        <w:ind w:left="360" w:hanging="360"/>
        <w:rPr>
          <w:color w:val="040404"/>
        </w:rPr>
      </w:pPr>
      <w:r w:rsidRPr="005276F0">
        <w:rPr>
          <w:color w:val="040404"/>
        </w:rPr>
        <w:t>21 CFR §56.108(a)(1), 21 CFR §50.24(e), 21 CFR §50.54(b), 21 CFR §812.66</w:t>
      </w:r>
    </w:p>
    <w:sectPr w:rsidR="00042D92" w:rsidRPr="005276F0" w:rsidSect="00F62360">
      <w:headerReference w:type="default" r:id="rId8"/>
      <w:footerReference w:type="default" r:id="rId9"/>
      <w:pgSz w:w="12240" w:h="15840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630A" w14:textId="77777777" w:rsidR="00CD3514" w:rsidRDefault="00CD3514">
      <w:pPr>
        <w:spacing w:after="0" w:line="240" w:lineRule="auto"/>
      </w:pPr>
      <w:r>
        <w:separator/>
      </w:r>
    </w:p>
  </w:endnote>
  <w:endnote w:type="continuationSeparator" w:id="0">
    <w:p w14:paraId="7F7C5454" w14:textId="77777777" w:rsidR="00CD3514" w:rsidRDefault="00C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800" w14:textId="0B564A40" w:rsidR="00000000" w:rsidRPr="009A0553" w:rsidRDefault="00000000" w:rsidP="009A055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042D92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9523" w14:textId="77777777" w:rsidR="00CD3514" w:rsidRDefault="00CD3514">
      <w:pPr>
        <w:spacing w:after="0" w:line="240" w:lineRule="auto"/>
      </w:pPr>
      <w:r>
        <w:separator/>
      </w:r>
    </w:p>
  </w:footnote>
  <w:footnote w:type="continuationSeparator" w:id="0">
    <w:p w14:paraId="3836C83D" w14:textId="77777777" w:rsidR="00CD3514" w:rsidRDefault="00CD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DEC" w14:textId="267632B9" w:rsidR="00000000" w:rsidRPr="00BD1786" w:rsidRDefault="00D73BC4" w:rsidP="00F314C5">
    <w:pPr>
      <w:pStyle w:val="Header"/>
    </w:pPr>
    <w:r>
      <w:br/>
    </w:r>
    <w: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73B84231" wp14:editId="0722AD7B">
          <wp:simplePos x="0" y="0"/>
          <wp:positionH relativeFrom="column">
            <wp:posOffset>1050870</wp:posOffset>
          </wp:positionH>
          <wp:positionV relativeFrom="paragraph">
            <wp:posOffset>-303061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5100728">
    <w:abstractNumId w:val="0"/>
  </w:num>
  <w:num w:numId="2" w16cid:durableId="12589091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92"/>
    <w:rsid w:val="000204FD"/>
    <w:rsid w:val="00042D92"/>
    <w:rsid w:val="001632BB"/>
    <w:rsid w:val="00180500"/>
    <w:rsid w:val="00202477"/>
    <w:rsid w:val="00223056"/>
    <w:rsid w:val="00233427"/>
    <w:rsid w:val="00241090"/>
    <w:rsid w:val="00246EF2"/>
    <w:rsid w:val="00261D25"/>
    <w:rsid w:val="002D5723"/>
    <w:rsid w:val="00321736"/>
    <w:rsid w:val="0032371A"/>
    <w:rsid w:val="00350B6C"/>
    <w:rsid w:val="00393383"/>
    <w:rsid w:val="003D11CC"/>
    <w:rsid w:val="00411F73"/>
    <w:rsid w:val="00413E41"/>
    <w:rsid w:val="004162D3"/>
    <w:rsid w:val="00495900"/>
    <w:rsid w:val="004E3C64"/>
    <w:rsid w:val="005276F0"/>
    <w:rsid w:val="00527938"/>
    <w:rsid w:val="0057639D"/>
    <w:rsid w:val="00664F8C"/>
    <w:rsid w:val="00665520"/>
    <w:rsid w:val="006728D1"/>
    <w:rsid w:val="006B4717"/>
    <w:rsid w:val="007809EE"/>
    <w:rsid w:val="008D4881"/>
    <w:rsid w:val="00935922"/>
    <w:rsid w:val="00935FAE"/>
    <w:rsid w:val="009654FF"/>
    <w:rsid w:val="009B3D20"/>
    <w:rsid w:val="00A1672A"/>
    <w:rsid w:val="00A251E9"/>
    <w:rsid w:val="00AE43D4"/>
    <w:rsid w:val="00B736FD"/>
    <w:rsid w:val="00B74E2F"/>
    <w:rsid w:val="00B7540D"/>
    <w:rsid w:val="00BD1786"/>
    <w:rsid w:val="00C525A5"/>
    <w:rsid w:val="00C53543"/>
    <w:rsid w:val="00CD3514"/>
    <w:rsid w:val="00D73BC4"/>
    <w:rsid w:val="00DD3051"/>
    <w:rsid w:val="00DE081B"/>
    <w:rsid w:val="00E56ABD"/>
    <w:rsid w:val="00EB666B"/>
    <w:rsid w:val="00F314C5"/>
    <w:rsid w:val="00F6736B"/>
    <w:rsid w:val="00FA30C3"/>
    <w:rsid w:val="00FD0D28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1A651"/>
  <w15:docId w15:val="{B607DFDC-5D21-48E5-A723-18444F6C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042D92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42D92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042D92"/>
    <w:rPr>
      <w:color w:val="0000FF"/>
      <w:u w:val="single"/>
    </w:rPr>
  </w:style>
  <w:style w:type="paragraph" w:customStyle="1" w:styleId="SOPTableHeader">
    <w:name w:val="SOP Table Header"/>
    <w:basedOn w:val="Normal"/>
    <w:rsid w:val="00042D92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042D92"/>
    <w:rPr>
      <w:sz w:val="18"/>
    </w:rPr>
  </w:style>
  <w:style w:type="paragraph" w:customStyle="1" w:styleId="SOPLevel1">
    <w:name w:val="SOP Level 1"/>
    <w:basedOn w:val="Normal"/>
    <w:rsid w:val="00042D92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042D92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042D92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042D92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042D92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042D92"/>
    <w:pPr>
      <w:numPr>
        <w:ilvl w:val="5"/>
      </w:numPr>
      <w:ind w:left="5400" w:hanging="1440"/>
    </w:pPr>
  </w:style>
  <w:style w:type="character" w:styleId="CommentReference">
    <w:name w:val="annotation reference"/>
    <w:rsid w:val="00042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2D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9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2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8"/>
  </w:style>
  <w:style w:type="paragraph" w:styleId="Footer">
    <w:name w:val="footer"/>
    <w:basedOn w:val="Normal"/>
    <w:link w:val="FooterChar"/>
    <w:uiPriority w:val="99"/>
    <w:unhideWhenUsed/>
    <w:rsid w:val="00FD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8"/>
  </w:style>
  <w:style w:type="table" w:styleId="TableGrid">
    <w:name w:val="Table Grid"/>
    <w:basedOn w:val="TableNormal"/>
    <w:rsid w:val="00A16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CCBE-2639-48C5-ADC0-D9FCBEED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3</cp:revision>
  <dcterms:created xsi:type="dcterms:W3CDTF">2023-11-13T20:50:00Z</dcterms:created>
  <dcterms:modified xsi:type="dcterms:W3CDTF">2026-03-13T18:18:00Z</dcterms:modified>
</cp:coreProperties>
</file>