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73FE" w14:textId="77777777" w:rsidR="00854960" w:rsidRDefault="000000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HRP-025 | 12/9/2022 | Author: A. Author | Approver: B. Approver</w:t>
      </w:r>
    </w:p>
    <w:p w14:paraId="474FBB3A" w14:textId="77777777" w:rsidR="00854960" w:rsidRDefault="00854960">
      <w:pPr>
        <w:spacing w:after="0"/>
      </w:pPr>
    </w:p>
    <w:p w14:paraId="58CE85BF" w14:textId="77777777" w:rsidR="00854960" w:rsidRDefault="00000000">
      <w:pPr>
        <w:pStyle w:val="DocumentTitle-HCG"/>
        <w:rPr>
          <w:szCs w:val="32"/>
        </w:rPr>
      </w:pPr>
      <w:r>
        <w:rPr>
          <w:szCs w:val="32"/>
        </w:rPr>
        <w:t>SOP: Investigations</w:t>
      </w:r>
    </w:p>
    <w:p w14:paraId="05EDDCE3" w14:textId="77777777" w:rsidR="00854960" w:rsidRDefault="00854960">
      <w:pPr>
        <w:pStyle w:val="DocumentTitle-HCG"/>
      </w:pPr>
    </w:p>
    <w:p w14:paraId="113FA48B" w14:textId="77777777" w:rsidR="0085496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51982530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conduct investigations.</w:t>
      </w:r>
    </w:p>
    <w:p w14:paraId="54D78139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begins when the IRB staff members and chair cannot answer a question required by HRP-024 - SOP - New Information.</w:t>
      </w:r>
    </w:p>
    <w:p w14:paraId="6A8538ED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investigation is </w:t>
      </w:r>
      <w:proofErr w:type="gramStart"/>
      <w:r>
        <w:rPr>
          <w:rFonts w:cs="Arial"/>
          <w:sz w:val="22"/>
          <w:szCs w:val="22"/>
        </w:rPr>
        <w:t>complete</w:t>
      </w:r>
      <w:proofErr w:type="gramEnd"/>
      <w:r>
        <w:rPr>
          <w:rFonts w:cs="Arial"/>
          <w:sz w:val="22"/>
          <w:szCs w:val="22"/>
        </w:rPr>
        <w:t xml:space="preserve"> and the answer has been provided to the </w:t>
      </w:r>
      <w:r>
        <w:rPr>
          <w:rFonts w:cs="Arial"/>
          <w:sz w:val="22"/>
          <w:szCs w:val="22"/>
          <w:u w:val="double"/>
        </w:rPr>
        <w:t xml:space="preserve">Institutional Official/Organizational Official (IO/OO) </w:t>
      </w:r>
      <w:r>
        <w:rPr>
          <w:rFonts w:cs="Arial"/>
          <w:sz w:val="22"/>
          <w:szCs w:val="22"/>
        </w:rPr>
        <w:t>or designee.</w:t>
      </w:r>
    </w:p>
    <w:p w14:paraId="13E5D868" w14:textId="77777777" w:rsidR="00854960" w:rsidRDefault="00000000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73ABCE5E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118DC05" w14:textId="77777777" w:rsidR="0085496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51BD66A2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A17453E" w14:textId="77777777" w:rsidR="0085496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19C8470C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designee:</w:t>
      </w:r>
    </w:p>
    <w:p w14:paraId="335A63F0" w14:textId="77777777" w:rsidR="00854960" w:rsidRDefault="00000000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>Appoints the members of the investigative committee based on the expertise and background needed to answer the question.</w:t>
      </w:r>
    </w:p>
    <w:p w14:paraId="2DB8BA17" w14:textId="77777777" w:rsidR="00854960" w:rsidRDefault="00000000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>Appoints a chair of the investigative committee.</w:t>
      </w:r>
    </w:p>
    <w:p w14:paraId="22C7DE46" w14:textId="77777777" w:rsidR="00854960" w:rsidRDefault="00000000">
      <w:pPr>
        <w:pStyle w:val="SOPLevel3"/>
        <w:rPr>
          <w:sz w:val="22"/>
          <w:szCs w:val="22"/>
        </w:rPr>
      </w:pPr>
      <w:r>
        <w:rPr>
          <w:sz w:val="22"/>
          <w:szCs w:val="22"/>
        </w:rPr>
        <w:t>Charges the investigative committee with the question to be answered.</w:t>
      </w:r>
    </w:p>
    <w:p w14:paraId="68A6D5B4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investigative committee carries out these procedures within 60 days.</w:t>
      </w:r>
    </w:p>
    <w:p w14:paraId="63615605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Investigative committee members make their decisions based on a preponderance of the evidence.</w:t>
      </w:r>
    </w:p>
    <w:p w14:paraId="282DF2C8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Investigative committee decisions are made by majority vote.</w:t>
      </w:r>
    </w:p>
    <w:p w14:paraId="05C7AAE4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Individuals being interviewed may have counsel present. However, counsel cannot address the investigative committee. The investigative committee by a vote of the majority may exclude counsel when in the opinion of the investigative committee that person’s presence is disruptive.</w:t>
      </w:r>
    </w:p>
    <w:p w14:paraId="57F3A433" w14:textId="77777777" w:rsidR="0085496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38EF1B49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Notify the investigator that an investigation is being conducted, the question to be answered, and the time frame for completion.</w:t>
      </w:r>
    </w:p>
    <w:p w14:paraId="47F6826E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Determine what information to gather and what individuals to interview.</w:t>
      </w:r>
    </w:p>
    <w:p w14:paraId="56F697AB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Gather information and interview individuals.</w:t>
      </w:r>
    </w:p>
    <w:p w14:paraId="4D254F91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the investigative committee believes that a transcription of the interviews will be required to make a proper decision, the investigative committee may request a court stenographer to record all interviews.</w:t>
      </w:r>
    </w:p>
    <w:p w14:paraId="2B6A3C5A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Repeat information gathering and interviews until a decision can be made.</w:t>
      </w:r>
    </w:p>
    <w:p w14:paraId="259A17E5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investigative committee provides a written report of the investigative committee’s decision to the </w:t>
      </w:r>
      <w:r>
        <w:rPr>
          <w:rFonts w:cs="Arial"/>
          <w:sz w:val="22"/>
          <w:szCs w:val="22"/>
          <w:u w:val="double"/>
        </w:rPr>
        <w:t>IO/OO</w:t>
      </w:r>
      <w:r>
        <w:rPr>
          <w:rFonts w:cs="Arial"/>
          <w:sz w:val="22"/>
          <w:szCs w:val="22"/>
        </w:rPr>
        <w:t xml:space="preserve"> or designee.</w:t>
      </w:r>
    </w:p>
    <w:p w14:paraId="239385CF" w14:textId="77777777" w:rsidR="0085496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6D8112F7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HRP-024 - SOP - New Information </w:t>
      </w:r>
    </w:p>
    <w:p w14:paraId="0BC1737D" w14:textId="77777777" w:rsidR="00854960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17782927" w14:textId="77777777" w:rsidR="00854960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I.5.D, I-9, II.2.G</w:t>
      </w:r>
    </w:p>
    <w:sectPr w:rsidR="0085496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694F" w14:textId="77777777" w:rsidR="00D94335" w:rsidRDefault="00D94335" w:rsidP="00855EE6">
      <w:pPr>
        <w:spacing w:after="0" w:line="240" w:lineRule="auto"/>
      </w:pPr>
      <w:r>
        <w:separator/>
      </w:r>
    </w:p>
  </w:endnote>
  <w:endnote w:type="continuationSeparator" w:id="0">
    <w:p w14:paraId="3AEC0936" w14:textId="77777777" w:rsidR="00D94335" w:rsidRDefault="00D94335" w:rsidP="00855EE6">
      <w:pPr>
        <w:spacing w:after="0" w:line="240" w:lineRule="auto"/>
      </w:pPr>
      <w:r>
        <w:continuationSeparator/>
      </w:r>
    </w:p>
  </w:endnote>
  <w:endnote w:type="continuationNotice" w:id="1">
    <w:p w14:paraId="4A4CDA1E" w14:textId="77777777" w:rsidR="00D94335" w:rsidRDefault="00D943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D1AC" w14:textId="77777777" w:rsidR="00854960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52B9AF6" w14:textId="77777777" w:rsidR="00854960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64E4A35C" w14:textId="77777777" w:rsidR="00854960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325BF204" w14:textId="77777777" w:rsidR="00854960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125F" w14:textId="77777777" w:rsidR="00854960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9A2B9C0" w14:textId="77777777" w:rsidR="00854960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22BCE287" w14:textId="77777777" w:rsidR="00854960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434B1E79" w14:textId="77777777" w:rsidR="00854960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7935" w14:textId="77777777" w:rsidR="00D94335" w:rsidRDefault="00D94335" w:rsidP="00855EE6">
      <w:pPr>
        <w:spacing w:after="0" w:line="240" w:lineRule="auto"/>
      </w:pPr>
      <w:r>
        <w:separator/>
      </w:r>
    </w:p>
  </w:footnote>
  <w:footnote w:type="continuationSeparator" w:id="0">
    <w:p w14:paraId="0D733AE4" w14:textId="77777777" w:rsidR="00D94335" w:rsidRDefault="00D94335" w:rsidP="00855EE6">
      <w:pPr>
        <w:spacing w:after="0" w:line="240" w:lineRule="auto"/>
      </w:pPr>
      <w:r>
        <w:continuationSeparator/>
      </w:r>
    </w:p>
  </w:footnote>
  <w:footnote w:type="continuationNotice" w:id="1">
    <w:p w14:paraId="58ED4008" w14:textId="77777777" w:rsidR="00D94335" w:rsidRDefault="00D943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CD12" w14:textId="77777777" w:rsidR="00854960" w:rsidRDefault="00854960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81D1" w14:textId="77777777" w:rsidR="00854960" w:rsidRDefault="00000000">
    <w:pPr>
      <w:pStyle w:val="Header"/>
      <w:jc w:val="center"/>
    </w:pPr>
    <w:r>
      <w:rPr>
        <w:noProof/>
      </w:rPr>
      <w:drawing>
        <wp:inline distT="0" distB="0" distL="0" distR="0" wp14:anchorId="4D43199C" wp14:editId="67D5766A">
          <wp:extent cx="1790700" cy="571500"/>
          <wp:effectExtent l="0" t="0" r="0" b="0"/>
          <wp:docPr id="2" name="Picture 1" descr="Hu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uro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52730" w14:textId="77777777" w:rsidR="00854960" w:rsidRDefault="008549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75148547">
    <w:abstractNumId w:val="1"/>
  </w:num>
  <w:num w:numId="2" w16cid:durableId="1997102564">
    <w:abstractNumId w:val="2"/>
  </w:num>
  <w:num w:numId="3" w16cid:durableId="477037999">
    <w:abstractNumId w:val="0"/>
  </w:num>
  <w:num w:numId="4" w16cid:durableId="59070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50F7C"/>
    <w:rsid w:val="001A582B"/>
    <w:rsid w:val="001D39E5"/>
    <w:rsid w:val="00216912"/>
    <w:rsid w:val="00246DFB"/>
    <w:rsid w:val="00272E9B"/>
    <w:rsid w:val="002A0DD4"/>
    <w:rsid w:val="002B681F"/>
    <w:rsid w:val="00326316"/>
    <w:rsid w:val="00326970"/>
    <w:rsid w:val="0034262A"/>
    <w:rsid w:val="0035722D"/>
    <w:rsid w:val="00376FA0"/>
    <w:rsid w:val="00382447"/>
    <w:rsid w:val="00397D6B"/>
    <w:rsid w:val="003E5AE2"/>
    <w:rsid w:val="003F35F5"/>
    <w:rsid w:val="00413B76"/>
    <w:rsid w:val="00432636"/>
    <w:rsid w:val="00433C87"/>
    <w:rsid w:val="004709CB"/>
    <w:rsid w:val="004B05DE"/>
    <w:rsid w:val="004E2CCD"/>
    <w:rsid w:val="00512CDD"/>
    <w:rsid w:val="005678B9"/>
    <w:rsid w:val="0057424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7C4301"/>
    <w:rsid w:val="0080583A"/>
    <w:rsid w:val="00821C23"/>
    <w:rsid w:val="00837A94"/>
    <w:rsid w:val="0084152D"/>
    <w:rsid w:val="00854960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AC2F0C"/>
    <w:rsid w:val="00AC4ED1"/>
    <w:rsid w:val="00B23768"/>
    <w:rsid w:val="00B23D93"/>
    <w:rsid w:val="00B54DF7"/>
    <w:rsid w:val="00B600FC"/>
    <w:rsid w:val="00B61F4A"/>
    <w:rsid w:val="00B7436C"/>
    <w:rsid w:val="00B74E2F"/>
    <w:rsid w:val="00BB2AC7"/>
    <w:rsid w:val="00BF2F85"/>
    <w:rsid w:val="00C11900"/>
    <w:rsid w:val="00C468AA"/>
    <w:rsid w:val="00C536C2"/>
    <w:rsid w:val="00C75CAF"/>
    <w:rsid w:val="00C97E43"/>
    <w:rsid w:val="00CC0683"/>
    <w:rsid w:val="00D35E6A"/>
    <w:rsid w:val="00D926D2"/>
    <w:rsid w:val="00D94335"/>
    <w:rsid w:val="00E0288C"/>
    <w:rsid w:val="00E03D8D"/>
    <w:rsid w:val="00E33C34"/>
    <w:rsid w:val="00E34769"/>
    <w:rsid w:val="00E61D55"/>
    <w:rsid w:val="00EB0C36"/>
    <w:rsid w:val="00EE39FA"/>
    <w:rsid w:val="00EF642F"/>
    <w:rsid w:val="00F02295"/>
    <w:rsid w:val="00F116D8"/>
    <w:rsid w:val="00F21D47"/>
    <w:rsid w:val="00F322FF"/>
    <w:rsid w:val="00F40567"/>
    <w:rsid w:val="00F84AEF"/>
    <w:rsid w:val="00FD7949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BDA7D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93858-372D-4A1B-AC79-6EA4BF39E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Patricia Riehle</cp:lastModifiedBy>
  <cp:revision>9</cp:revision>
  <dcterms:created xsi:type="dcterms:W3CDTF">2022-06-22T13:31:00Z</dcterms:created>
  <dcterms:modified xsi:type="dcterms:W3CDTF">2026-03-13T17:55:00Z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