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F9F1" w14:textId="6ABD4BA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</w:t>
      </w:r>
      <w:r>
        <w:rPr>
          <w:rFonts w:ascii="Arial" w:hAnsi="Arial" w:cs="Arial"/>
        </w:rPr>
        <w:t>021</w:t>
      </w:r>
      <w:r>
        <w:rPr>
          <w:rFonts w:ascii="Arial" w:hAnsi="Arial" w:cs="Arial"/>
        </w:rPr>
        <w:t xml:space="preserve"> |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12/9/2022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Author: </w:t>
      </w:r>
      <w:r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Author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Approver: </w:t>
      </w:r>
      <w:r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Approver</w:t>
      </w:r>
    </w:p>
    <w:p w14:paraId="30BBEED7" w14:textId="77777777">
      <w:pPr>
        <w:spacing w:after="0"/>
        <w:rPr>
          <w:rFonts w:ascii="Arial" w:hAnsi="Arial" w:cs="Arial"/>
        </w:rPr>
      </w:pPr>
    </w:p>
    <w:p w14:paraId="3344C008" w14:textId="434E79C7">
      <w:pPr>
        <w:pStyle w:val="DocumentTitle-HCG"/>
        <w:rPr>
          <w:szCs w:val="32"/>
        </w:rPr>
      </w:pPr>
      <w:r>
        <w:rPr>
          <w:szCs w:val="32"/>
        </w:rPr>
        <w:t>SOP</w:t>
      </w:r>
      <w:r>
        <w:rPr>
          <w:szCs w:val="32"/>
        </w:rPr>
        <w:t>:</w:t>
      </w:r>
      <w:r>
        <w:rPr>
          <w:szCs w:val="32"/>
        </w:rPr>
        <w:t xml:space="preserve"> </w:t>
      </w:r>
      <w:r>
        <w:rPr>
          <w:szCs w:val="32"/>
        </w:rPr>
        <w:t>Pre-Review</w:t>
      </w:r>
      <w:r>
        <w:rPr>
          <w:sz w:val="22"/>
          <w:szCs w:val="22"/>
        </w:rPr>
        <w:t xml:space="preserve"> </w:t>
      </w:r>
    </w:p>
    <w:p w14:paraId="55F8BD4C" w14:textId="77777777">
      <w:pPr>
        <w:pStyle w:val="DocumentTitle-HCG"/>
      </w:pPr>
    </w:p>
    <w:p w14:paraId="5EF988B5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65B20917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procedure establishes the process to pre-review a request for approval (approval of new research, humanitarian use device (HUD), continuing review of research, or modification to previously approved research) or a determination whether an activity is exempt </w:t>
      </w:r>
      <w:r>
        <w:rPr>
          <w:rFonts w:cs="Arial"/>
          <w:sz w:val="22"/>
          <w:szCs w:val="22"/>
          <w:u w:val="double"/>
        </w:rPr>
        <w:t>Human Research</w:t>
      </w:r>
      <w:r>
        <w:rPr>
          <w:rFonts w:cs="Arial"/>
          <w:sz w:val="22"/>
          <w:szCs w:val="22"/>
        </w:rPr>
        <w:t xml:space="preserve"> or is not </w:t>
      </w:r>
      <w:r>
        <w:rPr>
          <w:rFonts w:cs="Arial"/>
          <w:sz w:val="22"/>
          <w:szCs w:val="22"/>
          <w:u w:val="double"/>
        </w:rPr>
        <w:t>Human Research</w:t>
      </w:r>
      <w:r>
        <w:rPr>
          <w:rFonts w:cs="Arial"/>
          <w:sz w:val="22"/>
          <w:szCs w:val="22"/>
        </w:rPr>
        <w:t>.</w:t>
      </w:r>
    </w:p>
    <w:p w14:paraId="329C3301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 IRB receives a request for local IRB approval, including requests from other institutions when this institution is the IRB of record, e.g., for a </w:t>
      </w:r>
      <w:r>
        <w:rPr>
          <w:rFonts w:cs="Arial"/>
          <w:sz w:val="22"/>
          <w:szCs w:val="22"/>
          <w:u w:val="double"/>
        </w:rPr>
        <w:t>Collaborative Study</w:t>
      </w:r>
      <w:r>
        <w:rPr>
          <w:rFonts w:cs="Arial"/>
          <w:sz w:val="22"/>
          <w:szCs w:val="22"/>
        </w:rPr>
        <w:t xml:space="preserve"> or </w:t>
      </w:r>
      <w:r>
        <w:rPr>
          <w:rFonts w:cs="Arial"/>
          <w:sz w:val="22"/>
          <w:szCs w:val="22"/>
          <w:u w:val="double"/>
        </w:rPr>
        <w:t>Multi-Site Study.</w:t>
      </w:r>
    </w:p>
    <w:p w14:paraId="6BA2EC2D" w14:textId="257C471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information has been placed on the agenda for an IRB meeting or will be handled by </w:t>
      </w:r>
      <w:r>
        <w:rPr>
          <w:rFonts w:cs="Arial"/>
          <w:sz w:val="22"/>
          <w:szCs w:val="22"/>
          <w:u w:val="double"/>
        </w:rPr>
        <w:t>Non-Committee Review.</w:t>
      </w:r>
    </w:p>
    <w:p w14:paraId="2F59A332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14:paraId="1CD68A5C" w14:textId="742D281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32753E23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addition of a participating site to a previously approved protocol for which the IRB will serve as the IRB of record for that participating site is considered a modification to previously approved research.</w:t>
      </w:r>
    </w:p>
    <w:p w14:paraId="24BB4D7B" w14:textId="03B022B4">
      <w:pPr>
        <w:pStyle w:val="SOPLevel2"/>
        <w:spacing w:line="276" w:lineRule="auto"/>
        <w:rPr>
          <w:rFonts w:cs="Arial"/>
          <w:sz w:val="24"/>
        </w:rPr>
      </w:pPr>
      <w:r>
        <w:rPr>
          <w:rFonts w:cs="Arial"/>
          <w:sz w:val="22"/>
          <w:szCs w:val="22"/>
        </w:rPr>
        <w:t xml:space="preserve">Single subject protocol exceptions are reviewed as modifications to previously approved </w:t>
      </w:r>
      <w:r>
        <w:rPr>
          <w:rFonts w:cs="Arial"/>
          <w:sz w:val="22"/>
          <w:szCs w:val="28"/>
        </w:rPr>
        <w:t>research.</w:t>
      </w:r>
      <w:r>
        <w:rPr>
          <w:rStyle w:val="FootnoteReference"/>
          <w:rFonts w:cs="Arial"/>
          <w:sz w:val="22"/>
          <w:szCs w:val="28"/>
        </w:rPr>
        <w:t xml:space="preserve"> </w:t>
      </w:r>
      <w:r>
        <w:rPr>
          <w:rStyle w:val="EndnoteReference"/>
          <w:rFonts w:cs="Arial"/>
          <w:sz w:val="22"/>
          <w:szCs w:val="28"/>
        </w:rPr>
        <w:endnoteReference w:id="1"/>
      </w:r>
    </w:p>
    <w:p w14:paraId="638FEC70" w14:textId="7F30CFB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new HUD protocol submission must be reviewed at a convened IRB meeting. Continuing review of a HUD can be handled by </w:t>
      </w:r>
      <w:r>
        <w:rPr>
          <w:rFonts w:cs="Arial"/>
          <w:sz w:val="22"/>
          <w:szCs w:val="22"/>
          <w:u w:val="double"/>
        </w:rPr>
        <w:t>Non-Committee Review.</w:t>
      </w:r>
    </w:p>
    <w:p w14:paraId="236E6220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5CB72C81" w14:textId="0C7D2CF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carry out these procedures.</w:t>
      </w:r>
    </w:p>
    <w:p w14:paraId="7A334A9E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6026CDEB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submission is a response to modifications required to secure approval received within 30 days of the IRB review date:</w:t>
      </w:r>
    </w:p>
    <w:p w14:paraId="1846B037" w14:textId="77777777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Evaluate whether the investigator made the required modifications.</w:t>
      </w:r>
    </w:p>
    <w:p w14:paraId="73E02A75" w14:textId="77777777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investigator made the required modifications, follow HRP-052 - SOP - Post-Review to issue an approval.</w:t>
      </w:r>
    </w:p>
    <w:p w14:paraId="17E5A55C" w14:textId="4BA92DC3">
      <w:pPr>
        <w:pStyle w:val="SOPLevel3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>If the investigator did not make the required modifications or made unrequested modifications, execute the “Request Pre-Review Clarification” activity from the investigator. Offer the investigator the opportunity to correct the submission.</w:t>
      </w:r>
    </w:p>
    <w:p w14:paraId="2D0B74E4" w14:textId="77777777">
      <w:pPr>
        <w:pStyle w:val="SOPLevel4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>If the investigator will correct the submission, have the investigator make changes then execute the “Submit Changes” activity and stop processing the current submission until changes are received.</w:t>
      </w:r>
    </w:p>
    <w:p w14:paraId="288248B4" w14:textId="77777777">
      <w:pPr>
        <w:pStyle w:val="SOPLevel4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>If the investigator will not correct the submission, have the investigator execute the “Submit Changes” activity to resubmit and continue processing.</w:t>
      </w:r>
    </w:p>
    <w:p w14:paraId="00C7538C" w14:textId="62D24249">
      <w:pPr>
        <w:pStyle w:val="SOPLevel2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>For all other submissions, complete Pre-Review Activity or review the previously completed Pre-Review Activity and revise as needed, considering the items on HRP-308 - WORKSHEET - Pre-Review and note all remaining contingencies in the “Final Contingencies” section.</w:t>
      </w:r>
    </w:p>
    <w:p w14:paraId="3661E6BC" w14:textId="77777777">
      <w:pPr>
        <w:pStyle w:val="SOPLevel2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>If the information is not complete, contact the investigator by selecting the “Request Pre-Review Clarifications” Activity. Offer the investigator the opportunity to provide additional information.</w:t>
      </w:r>
    </w:p>
    <w:p w14:paraId="335D9792" w14:textId="77777777">
      <w:pPr>
        <w:pStyle w:val="SOPLevel3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>Continue processing once the investigator responds to the request for additional information.</w:t>
      </w:r>
    </w:p>
    <w:p w14:paraId="185E2B8F" w14:textId="33D7D52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 request is for an initial approval and principal investigator is </w:t>
      </w:r>
      <w:r>
        <w:rPr>
          <w:rFonts w:cs="Arial"/>
          <w:sz w:val="22"/>
          <w:szCs w:val="22"/>
          <w:u w:val="double"/>
        </w:rPr>
        <w:t>Restricted</w:t>
      </w:r>
      <w:r>
        <w:rPr>
          <w:rFonts w:cs="Arial"/>
          <w:sz w:val="22"/>
          <w:szCs w:val="22"/>
        </w:rPr>
        <w:t xml:space="preserve">, contact the investigator. Explain that the investigator is </w:t>
      </w:r>
      <w:r>
        <w:rPr>
          <w:rFonts w:cs="Arial"/>
          <w:sz w:val="22"/>
          <w:szCs w:val="22"/>
          <w:u w:val="double"/>
        </w:rPr>
        <w:t>Restricted</w:t>
      </w:r>
      <w:r>
        <w:rPr>
          <w:rFonts w:cs="Arial"/>
          <w:sz w:val="22"/>
          <w:szCs w:val="22"/>
        </w:rPr>
        <w:t xml:space="preserve">, give the reasons, and indicate that if a new protocol goes to the IRB, the IRB policy is to disapprove the research. Offer the investigator the opportunity to withdraw the submission pending removal of the </w:t>
      </w:r>
      <w:r>
        <w:rPr>
          <w:rFonts w:cs="Arial"/>
          <w:sz w:val="22"/>
          <w:szCs w:val="22"/>
          <w:u w:val="double"/>
        </w:rPr>
        <w:t>Restricted</w:t>
      </w:r>
      <w:r>
        <w:rPr>
          <w:rFonts w:cs="Arial"/>
          <w:sz w:val="22"/>
          <w:szCs w:val="22"/>
        </w:rPr>
        <w:t xml:space="preserve"> status.</w:t>
      </w:r>
    </w:p>
    <w:p w14:paraId="1CCAD04F" w14:textId="77777777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investigator withdraws the submission, stop processing the current submission.</w:t>
      </w:r>
    </w:p>
    <w:p w14:paraId="607E7FF1" w14:textId="77777777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investigator will not withdraw the submission, discuss whether you may continue to process the submission with the IRB Manager.</w:t>
      </w:r>
    </w:p>
    <w:p w14:paraId="610680BE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Evaluate the most likely level of review using HRP-310 - WORKSHEET - Human Research Determination, HRP-311 - WORKSHEET - Engagement Determination, HRP-312 - WORKSHEET - Exemption Determination, HRP-313 - WORKSHEET - Expedited Review, and/or HRP-323 - WORKSHEET - Criteria for Approval HUD as references:</w:t>
      </w:r>
    </w:p>
    <w:p w14:paraId="0AFF8E19" w14:textId="26655BCC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 request can be handled as a </w:t>
      </w:r>
      <w:r>
        <w:rPr>
          <w:rFonts w:cs="Arial"/>
          <w:sz w:val="22"/>
          <w:szCs w:val="22"/>
          <w:u w:val="double"/>
        </w:rPr>
        <w:t>Non-Committee Review</w:t>
      </w:r>
      <w:r>
        <w:rPr>
          <w:rFonts w:cs="Arial"/>
          <w:sz w:val="22"/>
          <w:szCs w:val="22"/>
        </w:rPr>
        <w:t xml:space="preserve"> and the principal investigator is not </w:t>
      </w:r>
      <w:r>
        <w:rPr>
          <w:rFonts w:cs="Arial"/>
          <w:sz w:val="22"/>
          <w:szCs w:val="22"/>
          <w:u w:val="double"/>
        </w:rPr>
        <w:t>Restricted</w:t>
      </w:r>
      <w:r>
        <w:rPr>
          <w:rFonts w:cs="Arial"/>
          <w:sz w:val="22"/>
          <w:szCs w:val="22"/>
        </w:rPr>
        <w:t>, Follow HRP-031 - SOP - Non-Committee Review Preparation.</w:t>
      </w:r>
    </w:p>
    <w:p w14:paraId="50780A6F" w14:textId="7357D571">
      <w:pPr>
        <w:pStyle w:val="SOPLevel3"/>
        <w:spacing w:line="276" w:lineRule="auto"/>
        <w:rPr>
          <w:rFonts w:cs="Arial"/>
          <w:color w:val="F898A6"/>
          <w:sz w:val="22"/>
          <w:szCs w:val="22"/>
        </w:rPr>
      </w:pPr>
      <w:r>
        <w:rPr>
          <w:rFonts w:cs="Arial"/>
          <w:sz w:val="22"/>
          <w:szCs w:val="22"/>
        </w:rPr>
        <w:t xml:space="preserve">If the request cannot be handled as a </w:t>
      </w:r>
      <w:r>
        <w:rPr>
          <w:rFonts w:cs="Arial"/>
          <w:sz w:val="22"/>
          <w:szCs w:val="22"/>
          <w:u w:val="double"/>
        </w:rPr>
        <w:t>Non-Committee Review</w:t>
      </w:r>
      <w:r>
        <w:rPr>
          <w:rFonts w:cs="Arial"/>
          <w:sz w:val="22"/>
          <w:szCs w:val="22"/>
        </w:rPr>
        <w:t xml:space="preserve">, place the protocol on the agenda for a convened IRB meeting in an IRB with appropriate scope. </w:t>
      </w:r>
      <w:r>
        <w:rPr>
          <w:rFonts w:cs="Arial"/>
          <w:color w:val="F898A6"/>
          <w:sz w:val="22"/>
          <w:szCs w:val="22"/>
        </w:rPr>
        <w:t xml:space="preserve">(Do not assign a Veterans Administration (VA) protocol to a commercial IRB unless it has been specifically designated by the VA Office of Research and Development to serve as an IRB for cooperative </w:t>
      </w:r>
      <w:r>
        <w:rPr>
          <w:rFonts w:cs="Arial"/>
          <w:color w:val="F898A6"/>
          <w:sz w:val="22"/>
          <w:szCs w:val="22"/>
        </w:rPr>
        <w:t>research.</w:t>
      </w:r>
      <w:r>
        <w:rPr>
          <w:rStyle w:val="EndnoteReference"/>
          <w:rFonts w:cs="Arial"/>
          <w:color w:val="F898A6"/>
          <w:sz w:val="22"/>
          <w:szCs w:val="22"/>
        </w:rPr>
        <w:endnoteReference w:id="2"/>
      </w:r>
      <w:r>
        <w:rPr>
          <w:rFonts w:cs="Arial"/>
          <w:color w:val="F898A6"/>
          <w:sz w:val="22"/>
          <w:szCs w:val="22"/>
        </w:rPr>
        <w:t>)</w:t>
      </w:r>
    </w:p>
    <w:p w14:paraId="7A1D0967" w14:textId="22C057E8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request is a non-emergency individual patient expanded access use of an investigational drug for which an IRB waiver is requested, follow HRP-031 - SOP - Non-Committee Review Preparation and HRP-023 - SOP - Emergency Use, Compassionate Use, Indiv Patient Expanded Access.</w:t>
      </w:r>
    </w:p>
    <w:p w14:paraId="46FE9BD2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4342BA15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HRP-023 - SOP - Emergency Use, Compassionate Use, Indiv Patient Expanded Access</w:t>
      </w:r>
    </w:p>
    <w:p w14:paraId="71E98AF2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HRP-024 - SOP - New Information</w:t>
      </w:r>
    </w:p>
    <w:p w14:paraId="27846585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HRP-031 - SOP - Non-Committee Review Preparation</w:t>
      </w:r>
    </w:p>
    <w:p w14:paraId="1D375FAF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HRP-040 - SOP - IRB Meeting Preparation</w:t>
      </w:r>
    </w:p>
    <w:p w14:paraId="705E712C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HRP-052 - SOP - Post-Review</w:t>
      </w:r>
    </w:p>
    <w:p w14:paraId="72289274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HRP-308 - WORKSHEET - Pre-Review</w:t>
      </w:r>
    </w:p>
    <w:p w14:paraId="19875485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HRP-310 - WORKSHEET - Human Research Determination</w:t>
      </w:r>
    </w:p>
    <w:p w14:paraId="77C226D7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HRP-311 - WORKSHEET - Engagement Determination</w:t>
      </w:r>
    </w:p>
    <w:p w14:paraId="7F3BE691" w14:textId="7C9EF20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HRP-312 - WORKSHEET - Exemption Determination</w:t>
      </w:r>
    </w:p>
    <w:p w14:paraId="30AC943E" w14:textId="78B7C79D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HRP-313 - WORKSHEET - Expedited Review</w:t>
      </w:r>
    </w:p>
    <w:p w14:paraId="4C004581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HRP-323 - WORKSHEET - Criteria for Approval HUD</w:t>
      </w:r>
    </w:p>
    <w:p w14:paraId="67BFD6E7" w14:textId="58FBAB9E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46865960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I.1.A, I-2, I.6.B, I.7.A, I-9, II.2.A-D, II.2.E-II.2.E.2, II.2.F-II.2.F.3</w:t>
      </w:r>
    </w:p>
    <w:p w14:paraId="47C4A902" w14:textId="0563411F">
      <w:pPr>
        <w:pStyle w:val="SOPLevel2"/>
        <w:numPr>
          <w:ilvl w:val="0"/>
          <w:numId w:val="0"/>
        </w:numPr>
        <w:spacing w:line="276" w:lineRule="auto"/>
        <w:rPr>
          <w:rFonts w:cs="Arial"/>
          <w:sz w:val="22"/>
          <w:szCs w:val="22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892" w:rsidP="00855EE6" w:rsidRDefault="00920892" w14:paraId="5ADF7270" w14:textId="77777777">
      <w:pPr>
        <w:spacing w:after="0" w:line="240" w:lineRule="auto"/>
      </w:pPr>
      <w:r>
        <w:separator/>
      </w:r>
    </w:p>
  </w:endnote>
  <w:endnote w:type="continuationSeparator" w:id="0">
    <w:p w:rsidR="00920892" w:rsidP="00855EE6" w:rsidRDefault="00920892" w14:paraId="3AC4BA9E" w14:textId="77777777">
      <w:pPr>
        <w:spacing w:after="0" w:line="240" w:lineRule="auto"/>
      </w:pPr>
      <w:r>
        <w:continuationSeparator/>
      </w:r>
    </w:p>
  </w:endnote>
  <w:endnote w:id="1">
    <w:p w14:paraId="4113C736" w14:textId="77777777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Per OHRP correspondence dated 07/22/2011, protocol exceptions are considered changes to previously approved research and eligible for review via expedited procedure. </w:t>
      </w:r>
    </w:p>
  </w:endnote>
  <w:endnote w:id="2">
    <w:p w14:paraId="01BE7197" w14:textId="77777777">
      <w:pPr>
        <w:pStyle w:val="EndnoteText"/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Refer to the VA application process for the use of a commercial IRB approved by ORD: https://www.research.va.gov/programs/orppe/single_irb.cfm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F4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6D0" w14:textId="716CE5CA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663494DD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9B2016E" w14:textId="663494DD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7D9F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638B837" w14:textId="3B32D55D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0638B837" w14:textId="3B32D55D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892" w:rsidP="00855EE6" w:rsidRDefault="00920892" w14:paraId="7EBC8BCB" w14:textId="77777777">
      <w:pPr>
        <w:spacing w:after="0" w:line="240" w:lineRule="auto"/>
      </w:pPr>
      <w:r>
        <w:separator/>
      </w:r>
    </w:p>
  </w:footnote>
  <w:footnote w:type="continuationSeparator" w:id="0">
    <w:p w:rsidR="00920892" w:rsidP="00855EE6" w:rsidRDefault="00920892" w14:paraId="551122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59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E84A" w14:textId="77777777">
    <w:pPr>
      <w:pStyle w:val="Header"/>
      <w:jc w:val="center"/>
      <w:rPr>
        <w:noProof/>
      </w:rPr>
    </w:pP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036" w14:textId="7A5915E1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6518aeb760234e1e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68ACDE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B61D78"/>
    <w:multiLevelType w:val="multilevel"/>
    <w:tmpl w:val="4C747362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1386"/>
        </w:tabs>
        <w:ind w:left="102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44931633">
    <w:abstractNumId w:val="1"/>
  </w:num>
  <w:num w:numId="2" w16cid:durableId="173569078">
    <w:abstractNumId w:val="2"/>
  </w:num>
  <w:num w:numId="3" w16cid:durableId="533158839">
    <w:abstractNumId w:val="0"/>
  </w:num>
  <w:num w:numId="4" w16cid:durableId="81861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5BC7"/>
    <w:rsid w:val="00097C68"/>
    <w:rsid w:val="000A54B1"/>
    <w:rsid w:val="000E220B"/>
    <w:rsid w:val="000F5F1B"/>
    <w:rsid w:val="00112F1A"/>
    <w:rsid w:val="00150F7C"/>
    <w:rsid w:val="00216912"/>
    <w:rsid w:val="00272E9B"/>
    <w:rsid w:val="002A0DD4"/>
    <w:rsid w:val="002B681F"/>
    <w:rsid w:val="00325FE0"/>
    <w:rsid w:val="00326316"/>
    <w:rsid w:val="00326970"/>
    <w:rsid w:val="0034262A"/>
    <w:rsid w:val="0035722D"/>
    <w:rsid w:val="00376FA0"/>
    <w:rsid w:val="00397D6B"/>
    <w:rsid w:val="003E5AE2"/>
    <w:rsid w:val="003F35F5"/>
    <w:rsid w:val="00413B76"/>
    <w:rsid w:val="00432636"/>
    <w:rsid w:val="00433C87"/>
    <w:rsid w:val="004709CB"/>
    <w:rsid w:val="004B05DE"/>
    <w:rsid w:val="004E2CCD"/>
    <w:rsid w:val="004F675D"/>
    <w:rsid w:val="00512CDD"/>
    <w:rsid w:val="00523ADE"/>
    <w:rsid w:val="005678B9"/>
    <w:rsid w:val="00574247"/>
    <w:rsid w:val="0059053B"/>
    <w:rsid w:val="005B4F46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5E39"/>
    <w:rsid w:val="007469E0"/>
    <w:rsid w:val="0076301A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20892"/>
    <w:rsid w:val="0096768E"/>
    <w:rsid w:val="009C1EE8"/>
    <w:rsid w:val="00A213C9"/>
    <w:rsid w:val="00AA469F"/>
    <w:rsid w:val="00AC2F0C"/>
    <w:rsid w:val="00AC4ED1"/>
    <w:rsid w:val="00AD08AE"/>
    <w:rsid w:val="00B23768"/>
    <w:rsid w:val="00B23D93"/>
    <w:rsid w:val="00B54DF7"/>
    <w:rsid w:val="00B61F4A"/>
    <w:rsid w:val="00BB2AC7"/>
    <w:rsid w:val="00BF2F85"/>
    <w:rsid w:val="00C11900"/>
    <w:rsid w:val="00C468AA"/>
    <w:rsid w:val="00C536C2"/>
    <w:rsid w:val="00C75CAF"/>
    <w:rsid w:val="00C97E43"/>
    <w:rsid w:val="00D35E6A"/>
    <w:rsid w:val="00D552FB"/>
    <w:rsid w:val="00D731E5"/>
    <w:rsid w:val="00D926D2"/>
    <w:rsid w:val="00DC4B07"/>
    <w:rsid w:val="00DF3176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42FEC"/>
    <w:rsid w:val="00F44B09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220E3A"/>
  <w15:chartTrackingRefBased/>
  <w15:docId w15:val="{75EF74ED-8A38-4F1D-A7DC-1F93D5A0B080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styleId="SOPLevel1" w:customStyle="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hAnsi="Arial" w:eastAsia="Times New Roman" w:cs="Tahoma"/>
      <w:b/>
      <w:sz w:val="20"/>
      <w:szCs w:val="24"/>
    </w:rPr>
  </w:style>
  <w:style w:type="paragraph" w:styleId="SOPLevel2" w:customStyle="1">
    <w:name w:val="SOP Level 2"/>
    <w:basedOn w:val="SOPLevel1"/>
    <w:pPr>
      <w:numPr>
        <w:ilvl w:val="1"/>
      </w:numPr>
      <w:tabs>
        <w:tab w:val="clear" w:pos="1386"/>
        <w:tab w:val="num" w:pos="936"/>
      </w:tabs>
      <w:spacing w:before="20" w:after="20"/>
      <w:ind w:left="936" w:hanging="576"/>
    </w:pPr>
    <w:rPr>
      <w:b w:val="0"/>
    </w:rPr>
  </w:style>
  <w:style w:type="paragraph" w:styleId="SOPLevel3" w:customStyle="1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styleId="SOPLevel4" w:customStyle="1">
    <w:name w:val="SOP Level 4"/>
    <w:basedOn w:val="SOPLevel3"/>
    <w:pPr>
      <w:numPr>
        <w:ilvl w:val="3"/>
      </w:numPr>
      <w:ind w:left="2736" w:hanging="1008"/>
    </w:pPr>
  </w:style>
  <w:style w:type="paragraph" w:styleId="SOPLevel5" w:customStyle="1">
    <w:name w:val="SOP Level 5"/>
    <w:basedOn w:val="SOPLevel4"/>
    <w:pPr>
      <w:numPr>
        <w:ilvl w:val="4"/>
      </w:numPr>
      <w:ind w:left="3960" w:hanging="1224"/>
    </w:pPr>
  </w:style>
  <w:style w:type="paragraph" w:styleId="SOPLevel6" w:customStyle="1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.bin" Id="R6518aeb760234e1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purl.org/dc/dcmitype/"/>
    <ds:schemaRef ds:uri="07b1ed27-4a09-479f-8bd2-5a0f6f9bbe9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c515ec7-3e6c-4e38-8eb4-62fcbe95786e"/>
  </ds:schemaRefs>
</ds:datastoreItem>
</file>

<file path=customXml/itemProps3.xml><?xml version="1.0" encoding="utf-8"?>
<ds:datastoreItem xmlns:ds="http://schemas.openxmlformats.org/officeDocument/2006/customXml" ds:itemID="{38C3891A-4B7A-41A4-918E-D80393662AF8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27</ap:TotalTime>
  <ap:Pages>3</ap:Pages>
  <ap:Words>912</ap:Words>
  <ap:Characters>5205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6105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Thomas Bechert</cp:lastModifiedBy>
  <cp:revision>14</cp:revision>
  <dcterms:created xsi:type="dcterms:W3CDTF">2022-06-22T12:42:00Z</dcterms:created>
  <dcterms:modified xsi:type="dcterms:W3CDTF">2022-12-08T22:47:00Z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